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EC107" w14:textId="6F801450" w:rsidR="00DF1B78" w:rsidRDefault="00DF1B78" w:rsidP="001B14D5">
      <w:pPr>
        <w:rPr>
          <w:color w:val="444444" w:themeColor="text1"/>
        </w:rPr>
      </w:pPr>
      <w:r>
        <w:rPr>
          <w:color w:val="444444" w:themeColor="text1"/>
        </w:rPr>
        <w:t xml:space="preserve"> </w:t>
      </w:r>
    </w:p>
    <w:sdt>
      <w:sdtPr>
        <w:rPr>
          <w:color w:val="444444" w:themeColor="text1"/>
        </w:rPr>
        <w:id w:val="-1964029797"/>
        <w:docPartObj>
          <w:docPartGallery w:val="Cover Pages"/>
          <w:docPartUnique/>
        </w:docPartObj>
      </w:sdtPr>
      <w:sdtEndPr>
        <w:rPr>
          <w:color w:val="auto"/>
        </w:rPr>
      </w:sdtEndPr>
      <w:sdtContent>
        <w:p w14:paraId="4C0F08BF" w14:textId="3768F9AA" w:rsidR="00B1037F" w:rsidRPr="00D94982" w:rsidRDefault="009A6961" w:rsidP="001B14D5">
          <w:pPr>
            <w:rPr>
              <w:color w:val="444444" w:themeColor="text1"/>
            </w:rPr>
          </w:pPr>
          <w:r w:rsidRPr="00D94982">
            <w:rPr>
              <w:noProof/>
              <w:color w:val="444444" w:themeColor="text1"/>
            </w:rPr>
            <mc:AlternateContent>
              <mc:Choice Requires="wps">
                <w:drawing>
                  <wp:anchor distT="0" distB="0" distL="114300" distR="114300" simplePos="0" relativeHeight="251665408" behindDoc="0" locked="0" layoutInCell="1" allowOverlap="1" wp14:anchorId="029B9C0B" wp14:editId="68C7C593">
                    <wp:simplePos x="0" y="0"/>
                    <wp:positionH relativeFrom="column">
                      <wp:posOffset>-938047</wp:posOffset>
                    </wp:positionH>
                    <wp:positionV relativeFrom="paragraph">
                      <wp:posOffset>-295713</wp:posOffset>
                    </wp:positionV>
                    <wp:extent cx="1749972" cy="8966200"/>
                    <wp:effectExtent l="0" t="0" r="22225" b="25400"/>
                    <wp:wrapNone/>
                    <wp:docPr id="2" name="Rectangle 2"/>
                    <wp:cNvGraphicFramePr/>
                    <a:graphic xmlns:a="http://schemas.openxmlformats.org/drawingml/2006/main">
                      <a:graphicData uri="http://schemas.microsoft.com/office/word/2010/wordprocessingShape">
                        <wps:wsp>
                          <wps:cNvSpPr/>
                          <wps:spPr>
                            <a:xfrm>
                              <a:off x="0" y="0"/>
                              <a:ext cx="1749972" cy="8966200"/>
                            </a:xfrm>
                            <a:prstGeom prst="rect">
                              <a:avLst/>
                            </a:prstGeom>
                            <a:solidFill>
                              <a:schemeClr val="tx1"/>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55D1C" id="Rectangle 2" o:spid="_x0000_s1026" style="position:absolute;margin-left:-73.85pt;margin-top:-23.3pt;width:137.8pt;height:7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" fillcolor="#444 [3213]" strokecolor="#c7bff4 [660]" strokeweight="1pt"/>
                </w:pict>
              </mc:Fallback>
            </mc:AlternateContent>
          </w:r>
        </w:p>
        <w:p w14:paraId="6BFC86C8" w14:textId="6E4E1B2D" w:rsidR="00B1037F" w:rsidRPr="00D94982" w:rsidRDefault="00B1037F" w:rsidP="001B14D5">
          <w:pPr>
            <w:rPr>
              <w:color w:val="444444" w:themeColor="text1"/>
            </w:rPr>
          </w:pPr>
        </w:p>
        <w:p w14:paraId="0888C8D1" w14:textId="570ECA43" w:rsidR="00B1037F" w:rsidRPr="00D94982" w:rsidRDefault="004663F1" w:rsidP="00ED52A0">
          <w:pPr>
            <w:jc w:val="center"/>
            <w:rPr>
              <w:color w:val="444444" w:themeColor="text1"/>
            </w:rPr>
          </w:pPr>
          <w:r w:rsidRPr="00D94982">
            <w:rPr>
              <w:noProof/>
              <w:color w:val="444444" w:themeColor="text1"/>
            </w:rPr>
            <w:drawing>
              <wp:anchor distT="0" distB="0" distL="114300" distR="114300" simplePos="0" relativeHeight="251666432" behindDoc="0" locked="0" layoutInCell="1" allowOverlap="1" wp14:anchorId="132DF6F7" wp14:editId="67D1086F">
                <wp:simplePos x="0" y="0"/>
                <wp:positionH relativeFrom="margin">
                  <wp:posOffset>1590675</wp:posOffset>
                </wp:positionH>
                <wp:positionV relativeFrom="paragraph">
                  <wp:posOffset>248285</wp:posOffset>
                </wp:positionV>
                <wp:extent cx="4171950" cy="962660"/>
                <wp:effectExtent l="0" t="0" r="0" b="889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195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FD9F1" w14:textId="7A5523FC" w:rsidR="004663F1" w:rsidRDefault="004663F1" w:rsidP="001B14D5">
          <w:pPr>
            <w:rPr>
              <w:color w:val="444444" w:themeColor="text1"/>
            </w:rPr>
          </w:pPr>
        </w:p>
        <w:p w14:paraId="69D6BABC" w14:textId="2F226F26" w:rsidR="00B1037F" w:rsidRPr="00D94982" w:rsidRDefault="00B1037F" w:rsidP="001B14D5">
          <w:pPr>
            <w:rPr>
              <w:color w:val="444444" w:themeColor="text1"/>
            </w:rPr>
          </w:pPr>
        </w:p>
        <w:p w14:paraId="434FA695" w14:textId="6D7254CA" w:rsidR="001B14D5" w:rsidRDefault="001B14D5" w:rsidP="001B14D5">
          <w:pPr>
            <w:rPr>
              <w:color w:val="444444" w:themeColor="text1"/>
            </w:rPr>
          </w:pPr>
        </w:p>
        <w:p w14:paraId="562BAB2A" w14:textId="77777777" w:rsidR="004663F1" w:rsidRPr="00D94982" w:rsidRDefault="004663F1" w:rsidP="001B14D5">
          <w:pPr>
            <w:rPr>
              <w:color w:val="444444" w:themeColor="text1"/>
            </w:rPr>
          </w:pPr>
        </w:p>
        <w:p w14:paraId="04EBB9EB" w14:textId="77777777" w:rsidR="009A6961" w:rsidRPr="00D94982" w:rsidRDefault="009A6961" w:rsidP="009A6961">
          <w:pPr>
            <w:ind w:left="1440"/>
            <w:jc w:val="center"/>
            <w:rPr>
              <w:rFonts w:ascii="Calibri" w:hAnsi="Calibri" w:cs="Calibri"/>
              <w:b/>
              <w:bCs/>
              <w:color w:val="444444" w:themeColor="text1"/>
              <w:sz w:val="52"/>
              <w:szCs w:val="52"/>
            </w:rPr>
          </w:pPr>
          <w:r w:rsidRPr="00D94982">
            <w:rPr>
              <w:rFonts w:ascii="Calibri" w:hAnsi="Calibri" w:cs="Calibri"/>
              <w:b/>
              <w:bCs/>
              <w:color w:val="444444" w:themeColor="text1"/>
              <w:sz w:val="52"/>
              <w:szCs w:val="52"/>
            </w:rPr>
            <w:t>Federal Transit Administration (FTA)</w:t>
          </w:r>
        </w:p>
        <w:p w14:paraId="62483247" w14:textId="77777777" w:rsidR="009A6961" w:rsidRPr="00D94982" w:rsidRDefault="009A6961" w:rsidP="009A6961">
          <w:pPr>
            <w:ind w:left="1440"/>
            <w:jc w:val="center"/>
            <w:rPr>
              <w:rFonts w:ascii="Calibri" w:hAnsi="Calibri" w:cs="Calibri"/>
              <w:b/>
              <w:bCs/>
              <w:color w:val="444444" w:themeColor="text1"/>
              <w:sz w:val="52"/>
              <w:szCs w:val="52"/>
            </w:rPr>
          </w:pPr>
          <w:r w:rsidRPr="00D94982">
            <w:rPr>
              <w:rFonts w:ascii="Calibri" w:hAnsi="Calibri" w:cs="Calibri"/>
              <w:b/>
              <w:bCs/>
              <w:color w:val="444444" w:themeColor="text1"/>
              <w:sz w:val="52"/>
              <w:szCs w:val="52"/>
            </w:rPr>
            <w:t>Overall Disadvantaged Business Enterprise (DBE)</w:t>
          </w:r>
        </w:p>
        <w:p w14:paraId="06BDB9B2" w14:textId="0E182A58" w:rsidR="009A6961" w:rsidRPr="00D94982" w:rsidRDefault="009A6961" w:rsidP="009A6961">
          <w:pPr>
            <w:ind w:left="1440"/>
            <w:jc w:val="center"/>
            <w:rPr>
              <w:rFonts w:ascii="Calibri" w:hAnsi="Calibri" w:cs="Calibri"/>
              <w:b/>
              <w:bCs/>
              <w:color w:val="444444" w:themeColor="text1"/>
              <w:sz w:val="52"/>
              <w:szCs w:val="52"/>
            </w:rPr>
          </w:pPr>
          <w:r w:rsidRPr="00D94982">
            <w:rPr>
              <w:rFonts w:ascii="Calibri" w:hAnsi="Calibri" w:cs="Calibri"/>
              <w:b/>
              <w:bCs/>
              <w:color w:val="444444" w:themeColor="text1"/>
              <w:sz w:val="52"/>
              <w:szCs w:val="52"/>
            </w:rPr>
            <w:t>Goal-Setting Methodology</w:t>
          </w:r>
        </w:p>
        <w:p w14:paraId="501D1CAD" w14:textId="2625FC8D" w:rsidR="00D94982" w:rsidRDefault="00D94982" w:rsidP="009A6961">
          <w:pPr>
            <w:ind w:left="1440"/>
            <w:jc w:val="center"/>
            <w:rPr>
              <w:rFonts w:ascii="Calibri" w:hAnsi="Calibri" w:cs="Calibri"/>
              <w:b/>
              <w:bCs/>
              <w:color w:val="444444" w:themeColor="text1"/>
              <w:sz w:val="52"/>
              <w:szCs w:val="52"/>
            </w:rPr>
          </w:pPr>
        </w:p>
        <w:p w14:paraId="1A56783A" w14:textId="77777777" w:rsidR="004663F1" w:rsidRPr="00D94982" w:rsidRDefault="004663F1" w:rsidP="009A6961">
          <w:pPr>
            <w:ind w:left="1440"/>
            <w:jc w:val="center"/>
            <w:rPr>
              <w:rFonts w:ascii="Calibri" w:hAnsi="Calibri" w:cs="Calibri"/>
              <w:b/>
              <w:bCs/>
              <w:color w:val="444444" w:themeColor="text1"/>
              <w:sz w:val="52"/>
              <w:szCs w:val="52"/>
            </w:rPr>
          </w:pPr>
        </w:p>
        <w:p w14:paraId="3789845B" w14:textId="05830309" w:rsidR="009A6961" w:rsidRPr="00D94982" w:rsidRDefault="00D94982" w:rsidP="009A6961">
          <w:pPr>
            <w:ind w:left="1440"/>
            <w:jc w:val="center"/>
            <w:rPr>
              <w:rFonts w:ascii="Calibri" w:hAnsi="Calibri" w:cs="Calibri"/>
              <w:b/>
              <w:bCs/>
              <w:color w:val="444444" w:themeColor="text1"/>
              <w:sz w:val="72"/>
              <w:szCs w:val="72"/>
            </w:rPr>
          </w:pPr>
          <w:r w:rsidRPr="00D94982">
            <w:rPr>
              <w:rFonts w:ascii="Calibri" w:hAnsi="Calibri" w:cs="Calibri"/>
              <w:b/>
              <w:bCs/>
              <w:color w:val="444444" w:themeColor="text1"/>
              <w:sz w:val="40"/>
              <w:szCs w:val="40"/>
            </w:rPr>
            <w:t>Goal Period:</w:t>
          </w:r>
        </w:p>
        <w:p w14:paraId="31A774B8" w14:textId="791E90D9" w:rsidR="009A6961" w:rsidRPr="00D94982" w:rsidRDefault="009A6961" w:rsidP="009A6961">
          <w:pPr>
            <w:ind w:left="1440"/>
            <w:jc w:val="center"/>
            <w:rPr>
              <w:rFonts w:ascii="Calibri" w:hAnsi="Calibri" w:cs="Calibri"/>
              <w:b/>
              <w:bCs/>
              <w:color w:val="444444" w:themeColor="text1"/>
              <w:sz w:val="40"/>
              <w:szCs w:val="40"/>
            </w:rPr>
          </w:pPr>
          <w:r w:rsidRPr="00D94982">
            <w:rPr>
              <w:rFonts w:ascii="Calibri" w:hAnsi="Calibri" w:cs="Calibri"/>
              <w:b/>
              <w:bCs/>
              <w:color w:val="444444" w:themeColor="text1"/>
              <w:sz w:val="40"/>
              <w:szCs w:val="40"/>
            </w:rPr>
            <w:t>Federal Fiscal Years (FFY) 202</w:t>
          </w:r>
          <w:r w:rsidR="00A85600">
            <w:rPr>
              <w:rFonts w:ascii="Calibri" w:hAnsi="Calibri" w:cs="Calibri"/>
              <w:b/>
              <w:bCs/>
              <w:color w:val="444444" w:themeColor="text1"/>
              <w:sz w:val="40"/>
              <w:szCs w:val="40"/>
            </w:rPr>
            <w:t>4</w:t>
          </w:r>
          <w:r w:rsidRPr="00D94982">
            <w:rPr>
              <w:rFonts w:ascii="Calibri" w:hAnsi="Calibri" w:cs="Calibri"/>
              <w:b/>
              <w:bCs/>
              <w:color w:val="444444" w:themeColor="text1"/>
              <w:sz w:val="40"/>
              <w:szCs w:val="40"/>
            </w:rPr>
            <w:t>-202</w:t>
          </w:r>
          <w:r w:rsidR="00A85600">
            <w:rPr>
              <w:rFonts w:ascii="Calibri" w:hAnsi="Calibri" w:cs="Calibri"/>
              <w:b/>
              <w:bCs/>
              <w:color w:val="444444" w:themeColor="text1"/>
              <w:sz w:val="40"/>
              <w:szCs w:val="40"/>
            </w:rPr>
            <w:t>6</w:t>
          </w:r>
        </w:p>
        <w:p w14:paraId="003592A3" w14:textId="024F1C18" w:rsidR="009A6961" w:rsidRDefault="009A6961" w:rsidP="009A6961">
          <w:pPr>
            <w:ind w:left="1440"/>
            <w:jc w:val="center"/>
            <w:rPr>
              <w:rFonts w:ascii="Calibri" w:hAnsi="Calibri" w:cs="Calibri"/>
              <w:b/>
              <w:bCs/>
              <w:color w:val="444444" w:themeColor="text1"/>
            </w:rPr>
          </w:pPr>
        </w:p>
        <w:p w14:paraId="2FF58216" w14:textId="788C56C4" w:rsidR="004663F1" w:rsidRDefault="004663F1" w:rsidP="009A6961">
          <w:pPr>
            <w:ind w:left="1440"/>
            <w:jc w:val="center"/>
            <w:rPr>
              <w:rFonts w:ascii="Calibri" w:hAnsi="Calibri" w:cs="Calibri"/>
              <w:b/>
              <w:bCs/>
              <w:color w:val="444444" w:themeColor="text1"/>
            </w:rPr>
          </w:pPr>
        </w:p>
        <w:p w14:paraId="3AE986B4" w14:textId="2BE177A4" w:rsidR="004663F1" w:rsidRDefault="004663F1" w:rsidP="009A6961">
          <w:pPr>
            <w:ind w:left="1440"/>
            <w:jc w:val="center"/>
            <w:rPr>
              <w:rFonts w:ascii="Calibri" w:hAnsi="Calibri" w:cs="Calibri"/>
              <w:b/>
              <w:bCs/>
              <w:color w:val="444444" w:themeColor="text1"/>
            </w:rPr>
          </w:pPr>
        </w:p>
        <w:p w14:paraId="03B796AA" w14:textId="351BA132" w:rsidR="004663F1" w:rsidRDefault="004663F1" w:rsidP="009A6961">
          <w:pPr>
            <w:ind w:left="1440"/>
            <w:jc w:val="center"/>
            <w:rPr>
              <w:rFonts w:ascii="Calibri" w:hAnsi="Calibri" w:cs="Calibri"/>
              <w:b/>
              <w:bCs/>
              <w:color w:val="444444" w:themeColor="text1"/>
            </w:rPr>
          </w:pPr>
        </w:p>
        <w:p w14:paraId="053BB82E" w14:textId="77777777" w:rsidR="00D94982" w:rsidRPr="00D94982" w:rsidRDefault="00D94982" w:rsidP="009A6961">
          <w:pPr>
            <w:ind w:left="1440"/>
            <w:jc w:val="center"/>
            <w:rPr>
              <w:rFonts w:ascii="Calibri" w:hAnsi="Calibri" w:cs="Calibri"/>
              <w:b/>
              <w:bCs/>
              <w:color w:val="444444" w:themeColor="text1"/>
            </w:rPr>
          </w:pPr>
        </w:p>
        <w:p w14:paraId="224717E3" w14:textId="77777777" w:rsidR="009A6961" w:rsidRPr="00D94982" w:rsidRDefault="009A6961" w:rsidP="009A6961">
          <w:pPr>
            <w:ind w:left="1440"/>
            <w:jc w:val="center"/>
            <w:rPr>
              <w:rFonts w:ascii="Calibri" w:hAnsi="Calibri" w:cs="Calibri"/>
              <w:b/>
              <w:bCs/>
              <w:color w:val="444444" w:themeColor="text1"/>
            </w:rPr>
          </w:pPr>
          <w:r w:rsidRPr="00D94982">
            <w:rPr>
              <w:rFonts w:ascii="Calibri" w:hAnsi="Calibri" w:cs="Calibri"/>
              <w:b/>
              <w:bCs/>
              <w:color w:val="444444" w:themeColor="text1"/>
            </w:rPr>
            <w:t xml:space="preserve">Submitted in fulfillment of: </w:t>
          </w:r>
        </w:p>
        <w:p w14:paraId="1C6C1A70" w14:textId="59F2D17B" w:rsidR="009A6961" w:rsidRPr="00D94982" w:rsidRDefault="009A6961" w:rsidP="009A6961">
          <w:pPr>
            <w:ind w:left="1440"/>
            <w:jc w:val="center"/>
            <w:rPr>
              <w:rFonts w:ascii="Calibri" w:hAnsi="Calibri" w:cs="Calibri"/>
              <w:b/>
              <w:bCs/>
              <w:color w:val="444444" w:themeColor="text1"/>
            </w:rPr>
          </w:pPr>
          <w:r w:rsidRPr="00D94982">
            <w:rPr>
              <w:rFonts w:ascii="Calibri" w:hAnsi="Calibri" w:cs="Calibri"/>
              <w:b/>
              <w:bCs/>
              <w:color w:val="444444" w:themeColor="text1"/>
            </w:rPr>
            <w:t>Title 49 Code of Federal Regulations Part 26</w:t>
          </w:r>
        </w:p>
      </w:sdtContent>
    </w:sdt>
    <w:p w14:paraId="3BB567C9" w14:textId="7553848C" w:rsidR="000057B6" w:rsidRPr="006E4C0A" w:rsidRDefault="0048495F" w:rsidP="006E4C0A">
      <w:pPr>
        <w:pStyle w:val="Heading1"/>
      </w:pPr>
      <w:r w:rsidRPr="006E4C0A">
        <w:lastRenderedPageBreak/>
        <w:t>INTRODUCTION</w:t>
      </w:r>
    </w:p>
    <w:p w14:paraId="11A8B326" w14:textId="1FD6ED84" w:rsidR="002F2A38" w:rsidRPr="00095275" w:rsidRDefault="00B60A2D" w:rsidP="00990C40">
      <w:pPr>
        <w:autoSpaceDE w:val="0"/>
        <w:autoSpaceDN w:val="0"/>
        <w:adjustRightInd w:val="0"/>
        <w:spacing w:before="40" w:after="240"/>
        <w:jc w:val="both"/>
        <w:rPr>
          <w:rFonts w:eastAsia="Times New Roman" w:cstheme="minorHAnsi"/>
        </w:rPr>
      </w:pPr>
      <w:r w:rsidRPr="00095275">
        <w:rPr>
          <w:rFonts w:eastAsia="Times New Roman" w:cstheme="minorHAnsi"/>
        </w:rPr>
        <w:t>The City</w:t>
      </w:r>
      <w:r w:rsidR="002F2A38" w:rsidRPr="00095275">
        <w:rPr>
          <w:rFonts w:eastAsia="Times New Roman" w:cstheme="minorHAnsi"/>
        </w:rPr>
        <w:t xml:space="preserve"> of Davis (City) is a recipient of federal transit funds.  The University of California at Davis (University) on behalf of Unitrans, a unit of the University, is the sub-recipient of the grants which partially fund Unitrans' capital projects and operating costs.  For each FTA </w:t>
      </w:r>
      <w:r w:rsidR="00E87D32" w:rsidRPr="00095275">
        <w:rPr>
          <w:rFonts w:eastAsia="Times New Roman" w:cstheme="minorHAnsi"/>
        </w:rPr>
        <w:t>grant, an</w:t>
      </w:r>
      <w:r w:rsidR="009E01FD" w:rsidRPr="00095275">
        <w:rPr>
          <w:rFonts w:eastAsia="Times New Roman" w:cstheme="minorHAnsi"/>
        </w:rPr>
        <w:t xml:space="preserve"> agreement</w:t>
      </w:r>
      <w:r w:rsidR="002F2A38" w:rsidRPr="00095275">
        <w:rPr>
          <w:rFonts w:eastAsia="Times New Roman" w:cstheme="minorHAnsi"/>
        </w:rPr>
        <w:t xml:space="preserve"> exists between the University and </w:t>
      </w:r>
      <w:r w:rsidR="0051080C" w:rsidRPr="00095275">
        <w:rPr>
          <w:rFonts w:eastAsia="Times New Roman" w:cstheme="minorHAnsi"/>
        </w:rPr>
        <w:t>the City</w:t>
      </w:r>
      <w:r w:rsidR="002F2A38" w:rsidRPr="00095275">
        <w:rPr>
          <w:rFonts w:eastAsia="Times New Roman" w:cstheme="minorHAnsi"/>
        </w:rPr>
        <w:t xml:space="preserve">, which passes the federal grant requirements on to the University.  Throughout this document, "Unitrans" refers to the University acting as the sub-recipient to </w:t>
      </w:r>
      <w:r w:rsidR="001317FC" w:rsidRPr="00095275">
        <w:rPr>
          <w:rFonts w:eastAsia="Times New Roman" w:cstheme="minorHAnsi"/>
        </w:rPr>
        <w:t xml:space="preserve">the City </w:t>
      </w:r>
      <w:r w:rsidR="002F2A38" w:rsidRPr="00095275">
        <w:rPr>
          <w:rFonts w:eastAsia="Times New Roman" w:cstheme="minorHAnsi"/>
        </w:rPr>
        <w:t>of Davis on behalf of Unitrans, a unit of the University.</w:t>
      </w:r>
    </w:p>
    <w:p w14:paraId="0A2627D6" w14:textId="3003DAC4" w:rsidR="0048495F" w:rsidRPr="00095275" w:rsidRDefault="002F2A38" w:rsidP="00990C40">
      <w:pPr>
        <w:autoSpaceDE w:val="0"/>
        <w:autoSpaceDN w:val="0"/>
        <w:adjustRightInd w:val="0"/>
        <w:spacing w:before="40" w:after="240"/>
        <w:jc w:val="both"/>
        <w:rPr>
          <w:rFonts w:eastAsia="Times New Roman" w:cstheme="minorHAnsi"/>
        </w:rPr>
      </w:pPr>
      <w:r w:rsidRPr="00095275">
        <w:t>Unitrans</w:t>
      </w:r>
      <w:r w:rsidR="0048495F" w:rsidRPr="00095275">
        <w:t xml:space="preserve"> </w:t>
      </w:r>
      <w:r w:rsidR="0048495F" w:rsidRPr="00095275">
        <w:rPr>
          <w:rFonts w:eastAsia="Times New Roman" w:cstheme="minorHAnsi"/>
        </w:rPr>
        <w:t>herein sets forth its Overall Disadvantaged Business Enterprise (DBE) Goal and corresponding federally prescribed goal-setting methodology for the Federal Fiscal Year (FFY) period of 202</w:t>
      </w:r>
      <w:r w:rsidR="00095275" w:rsidRPr="00095275">
        <w:rPr>
          <w:rFonts w:eastAsia="Times New Roman" w:cstheme="minorHAnsi"/>
        </w:rPr>
        <w:t>4</w:t>
      </w:r>
      <w:r w:rsidR="0048495F" w:rsidRPr="00095275">
        <w:rPr>
          <w:rFonts w:eastAsia="Times New Roman" w:cstheme="minorHAnsi"/>
        </w:rPr>
        <w:t>-202</w:t>
      </w:r>
      <w:r w:rsidR="00095275" w:rsidRPr="00095275">
        <w:rPr>
          <w:rFonts w:eastAsia="Times New Roman" w:cstheme="minorHAnsi"/>
        </w:rPr>
        <w:t>6</w:t>
      </w:r>
      <w:r w:rsidR="0048495F" w:rsidRPr="00095275">
        <w:rPr>
          <w:rFonts w:eastAsia="Times New Roman" w:cstheme="minorHAnsi"/>
        </w:rPr>
        <w:t xml:space="preserve"> (October 1, 202</w:t>
      </w:r>
      <w:r w:rsidR="00095275" w:rsidRPr="00095275">
        <w:rPr>
          <w:rFonts w:eastAsia="Times New Roman" w:cstheme="minorHAnsi"/>
        </w:rPr>
        <w:t>3</w:t>
      </w:r>
      <w:r w:rsidR="0048495F" w:rsidRPr="00095275">
        <w:rPr>
          <w:rFonts w:eastAsia="Times New Roman" w:cstheme="minorHAnsi"/>
        </w:rPr>
        <w:t xml:space="preserve"> through September 30, 202</w:t>
      </w:r>
      <w:r w:rsidR="00095275" w:rsidRPr="00095275">
        <w:rPr>
          <w:rFonts w:eastAsia="Times New Roman" w:cstheme="minorHAnsi"/>
        </w:rPr>
        <w:t>6</w:t>
      </w:r>
      <w:r w:rsidR="0048495F" w:rsidRPr="00095275">
        <w:rPr>
          <w:rFonts w:eastAsia="Times New Roman" w:cstheme="minorHAnsi"/>
        </w:rPr>
        <w:t>), pursuant to Title 49 Code of Federal Regulations (CFR) Part 26 “Participation by Disadvantaged Business Enterprises in U.S. Department of Transportation Programs.” The purpose of the DBE goal-setting process is to level the playing field so that DBEs can compete fairly for U.S. Department of Transportation (USDOT)-assisted contracts, however, the program must be narrowly tailored in accordance with applicable law.</w:t>
      </w:r>
    </w:p>
    <w:p w14:paraId="2010DFA1" w14:textId="2E14A670" w:rsidR="0048495F" w:rsidRPr="00A244F2" w:rsidRDefault="0048495F" w:rsidP="006E4C0A">
      <w:pPr>
        <w:pStyle w:val="Heading1"/>
      </w:pPr>
      <w:r w:rsidRPr="00A244F2">
        <w:t>BACKGROUND</w:t>
      </w:r>
    </w:p>
    <w:p w14:paraId="36A50221" w14:textId="2F76C42B" w:rsidR="003D63AB" w:rsidRPr="00A244F2" w:rsidRDefault="003D63AB" w:rsidP="003D63AB">
      <w:pPr>
        <w:autoSpaceDE w:val="0"/>
        <w:autoSpaceDN w:val="0"/>
        <w:adjustRightInd w:val="0"/>
        <w:spacing w:before="40" w:after="240"/>
        <w:jc w:val="both"/>
        <w:rPr>
          <w:rFonts w:eastAsia="Times New Roman" w:cstheme="minorHAnsi"/>
        </w:rPr>
      </w:pPr>
      <w:r w:rsidRPr="00A244F2">
        <w:rPr>
          <w:rFonts w:eastAsia="Times New Roman" w:cstheme="minorHAnsi"/>
        </w:rPr>
        <w:t xml:space="preserve">As the recipient of federal transit funds, </w:t>
      </w:r>
      <w:r w:rsidR="001317FC" w:rsidRPr="00A244F2">
        <w:rPr>
          <w:rFonts w:eastAsia="Times New Roman" w:cstheme="minorHAnsi"/>
        </w:rPr>
        <w:t>the City</w:t>
      </w:r>
      <w:r w:rsidRPr="00A244F2">
        <w:rPr>
          <w:rFonts w:eastAsia="Times New Roman" w:cstheme="minorHAnsi"/>
        </w:rPr>
        <w:t xml:space="preserve"> of Davis utilizes only a small portion of FTA funding for the purchase of paratransit vehicles, which is not subject to the DBE goal-setting process. </w:t>
      </w:r>
      <w:r w:rsidR="001317FC" w:rsidRPr="00A244F2">
        <w:rPr>
          <w:rFonts w:eastAsia="Times New Roman" w:cstheme="minorHAnsi"/>
        </w:rPr>
        <w:t>The City</w:t>
      </w:r>
      <w:r w:rsidRPr="00A244F2">
        <w:rPr>
          <w:rFonts w:eastAsia="Times New Roman" w:cstheme="minorHAnsi"/>
        </w:rPr>
        <w:t xml:space="preserve"> passes the remainder of FTA funds through to Unitrans for the provision of fixed route transit service. Therefore, as a condition of receiving this assistance, Unitrans assures </w:t>
      </w:r>
      <w:r w:rsidR="008B2D63" w:rsidRPr="00A244F2">
        <w:rPr>
          <w:rFonts w:eastAsia="Times New Roman" w:cstheme="minorHAnsi"/>
        </w:rPr>
        <w:t>the City</w:t>
      </w:r>
      <w:r w:rsidRPr="00A244F2">
        <w:rPr>
          <w:rFonts w:eastAsia="Times New Roman" w:cstheme="minorHAnsi"/>
        </w:rPr>
        <w:t xml:space="preserve"> that it will comply with FTA’s DBE requirements. Therefore, in accordance with Title 49 CFR Part 26 provisions, Unitrans develops and submits a Triennial Overall DBE Goal for its FTA-assisted projects.</w:t>
      </w:r>
    </w:p>
    <w:p w14:paraId="46D6EE80" w14:textId="77ED884B" w:rsidR="0048495F" w:rsidRPr="00A244F2" w:rsidRDefault="0017262E" w:rsidP="005F1EC9">
      <w:pPr>
        <w:autoSpaceDE w:val="0"/>
        <w:autoSpaceDN w:val="0"/>
        <w:adjustRightInd w:val="0"/>
        <w:jc w:val="both"/>
        <w:rPr>
          <w:rFonts w:eastAsia="Times New Roman" w:cstheme="minorHAnsi"/>
        </w:rPr>
      </w:pPr>
      <w:r w:rsidRPr="00A244F2">
        <w:rPr>
          <w:rFonts w:eastAsia="Times New Roman" w:cstheme="minorHAnsi"/>
        </w:rPr>
        <w:t>Unitrans</w:t>
      </w:r>
      <w:r w:rsidR="0048495F" w:rsidRPr="00A244F2">
        <w:rPr>
          <w:rFonts w:eastAsia="Times New Roman" w:cstheme="minorHAnsi"/>
        </w:rPr>
        <w:t xml:space="preserve"> herein presents its Overall DBE Goal Methodology for FFY 202</w:t>
      </w:r>
      <w:r w:rsidR="00A244F2" w:rsidRPr="00A244F2">
        <w:rPr>
          <w:rFonts w:eastAsia="Times New Roman" w:cstheme="minorHAnsi"/>
        </w:rPr>
        <w:t>4</w:t>
      </w:r>
      <w:r w:rsidR="0048495F" w:rsidRPr="00A244F2">
        <w:rPr>
          <w:rFonts w:eastAsia="Times New Roman" w:cstheme="minorHAnsi"/>
        </w:rPr>
        <w:t>-202</w:t>
      </w:r>
      <w:r w:rsidR="00A244F2" w:rsidRPr="00A244F2">
        <w:rPr>
          <w:rFonts w:eastAsia="Times New Roman" w:cstheme="minorHAnsi"/>
        </w:rPr>
        <w:t>6</w:t>
      </w:r>
      <w:r w:rsidR="0048495F" w:rsidRPr="00A244F2">
        <w:rPr>
          <w:rFonts w:eastAsia="Times New Roman" w:cstheme="minorHAnsi"/>
        </w:rPr>
        <w:t>.</w:t>
      </w:r>
    </w:p>
    <w:p w14:paraId="6941ED61" w14:textId="3328ED14" w:rsidR="0048495F" w:rsidRPr="00DA28D1" w:rsidRDefault="0048495F" w:rsidP="006E4C0A">
      <w:pPr>
        <w:pStyle w:val="Heading1"/>
      </w:pPr>
      <w:r w:rsidRPr="00DA28D1">
        <w:t>FTA-ASSISTED CONTRACTING PROGRAM FOR FFY 202</w:t>
      </w:r>
      <w:r w:rsidR="00A244F2" w:rsidRPr="00DA28D1">
        <w:t>4</w:t>
      </w:r>
      <w:r w:rsidRPr="00DA28D1">
        <w:t>-202</w:t>
      </w:r>
      <w:r w:rsidR="00A244F2" w:rsidRPr="00DA28D1">
        <w:t>6</w:t>
      </w:r>
    </w:p>
    <w:p w14:paraId="55037D61" w14:textId="39944E2A" w:rsidR="0048495F" w:rsidRPr="00DA28D1" w:rsidRDefault="0048495F" w:rsidP="00B90302">
      <w:pPr>
        <w:pStyle w:val="Heading2"/>
      </w:pPr>
      <w:r w:rsidRPr="00DA28D1">
        <w:t>Market Area</w:t>
      </w:r>
    </w:p>
    <w:p w14:paraId="241F8557" w14:textId="77777777" w:rsidR="00035683" w:rsidRPr="00DA28D1" w:rsidRDefault="0048495F" w:rsidP="00246A5B">
      <w:pPr>
        <w:autoSpaceDE w:val="0"/>
        <w:autoSpaceDN w:val="0"/>
        <w:adjustRightInd w:val="0"/>
        <w:spacing w:after="0"/>
        <w:jc w:val="both"/>
        <w:rPr>
          <w:rFonts w:eastAsia="Times New Roman" w:cstheme="minorHAnsi"/>
        </w:rPr>
      </w:pPr>
      <w:r w:rsidRPr="00DA28D1">
        <w:rPr>
          <w:rFonts w:eastAsia="Times New Roman" w:cstheme="minorHAnsi"/>
        </w:rPr>
        <w:t xml:space="preserve">The Federal DBE Program requires agencies to implement the DBE Program based on information from the relevant geographic market area—the area in which the agency spends the substantial majority of its contracting dollars. </w:t>
      </w:r>
    </w:p>
    <w:p w14:paraId="27E2CE31" w14:textId="77777777" w:rsidR="00035683" w:rsidRPr="00DA28D1" w:rsidRDefault="00035683" w:rsidP="00246A5B">
      <w:pPr>
        <w:autoSpaceDE w:val="0"/>
        <w:autoSpaceDN w:val="0"/>
        <w:adjustRightInd w:val="0"/>
        <w:spacing w:after="0"/>
        <w:jc w:val="both"/>
        <w:rPr>
          <w:rFonts w:eastAsia="Times New Roman" w:cstheme="minorHAnsi"/>
        </w:rPr>
      </w:pPr>
    </w:p>
    <w:p w14:paraId="290B3053" w14:textId="4C15931C" w:rsidR="002F2D7F" w:rsidRPr="00DA28D1" w:rsidRDefault="002F2D7F" w:rsidP="002F2D7F">
      <w:pPr>
        <w:autoSpaceDE w:val="0"/>
        <w:autoSpaceDN w:val="0"/>
        <w:adjustRightInd w:val="0"/>
        <w:spacing w:after="0"/>
        <w:jc w:val="both"/>
        <w:rPr>
          <w:rFonts w:eastAsia="Times New Roman" w:cstheme="minorHAnsi"/>
        </w:rPr>
      </w:pPr>
      <w:r w:rsidRPr="00DA28D1">
        <w:rPr>
          <w:rFonts w:eastAsia="Times New Roman" w:cstheme="minorHAnsi"/>
        </w:rPr>
        <w:t>The Unitrans local market for contracts consists of a geographic area that is:</w:t>
      </w:r>
    </w:p>
    <w:p w14:paraId="2D49AED4" w14:textId="77777777" w:rsidR="002F2D7F" w:rsidRPr="00DA28D1" w:rsidRDefault="002F2D7F" w:rsidP="002F2D7F">
      <w:pPr>
        <w:pStyle w:val="ListParagraph"/>
        <w:numPr>
          <w:ilvl w:val="0"/>
          <w:numId w:val="11"/>
        </w:numPr>
        <w:autoSpaceDE w:val="0"/>
        <w:autoSpaceDN w:val="0"/>
        <w:adjustRightInd w:val="0"/>
        <w:spacing w:after="0"/>
        <w:jc w:val="both"/>
        <w:rPr>
          <w:rFonts w:asciiTheme="minorHAnsi" w:eastAsia="Times New Roman" w:hAnsiTheme="minorHAnsi" w:cstheme="minorHAnsi"/>
        </w:rPr>
      </w:pPr>
      <w:r w:rsidRPr="00DA28D1">
        <w:rPr>
          <w:rFonts w:asciiTheme="minorHAnsi" w:eastAsia="Times New Roman" w:hAnsiTheme="minorHAnsi" w:cstheme="minorHAnsi"/>
        </w:rPr>
        <w:t>where a large majority of contracting dollars is expended, and</w:t>
      </w:r>
    </w:p>
    <w:p w14:paraId="7EC4CA36" w14:textId="77777777" w:rsidR="002F2D7F" w:rsidRPr="00DA28D1" w:rsidRDefault="002F2D7F" w:rsidP="002F2D7F">
      <w:pPr>
        <w:pStyle w:val="ListParagraph"/>
        <w:numPr>
          <w:ilvl w:val="0"/>
          <w:numId w:val="11"/>
        </w:numPr>
        <w:autoSpaceDE w:val="0"/>
        <w:autoSpaceDN w:val="0"/>
        <w:adjustRightInd w:val="0"/>
        <w:spacing w:after="0"/>
        <w:jc w:val="both"/>
        <w:rPr>
          <w:rFonts w:asciiTheme="minorHAnsi" w:eastAsia="Times New Roman" w:hAnsiTheme="minorHAnsi" w:cstheme="minorHAnsi"/>
        </w:rPr>
      </w:pPr>
      <w:r w:rsidRPr="00DA28D1">
        <w:rPr>
          <w:rFonts w:asciiTheme="minorHAnsi" w:eastAsia="Times New Roman" w:hAnsiTheme="minorHAnsi" w:cstheme="minorHAnsi"/>
        </w:rPr>
        <w:t>where a substantial number of contractors and subcontractors are located and available to submit bids or quotes.</w:t>
      </w:r>
    </w:p>
    <w:p w14:paraId="636CCCF5" w14:textId="77777777" w:rsidR="00035683" w:rsidRPr="00DA28D1" w:rsidRDefault="00035683" w:rsidP="00246A5B">
      <w:pPr>
        <w:autoSpaceDE w:val="0"/>
        <w:autoSpaceDN w:val="0"/>
        <w:adjustRightInd w:val="0"/>
        <w:spacing w:after="0"/>
        <w:jc w:val="both"/>
        <w:rPr>
          <w:rFonts w:eastAsia="Times New Roman" w:cstheme="minorHAnsi"/>
        </w:rPr>
      </w:pPr>
    </w:p>
    <w:p w14:paraId="2392FD90" w14:textId="69C3AF12" w:rsidR="0048495F" w:rsidRPr="00DA28D1" w:rsidRDefault="00DA28D1" w:rsidP="00DA28D1">
      <w:pPr>
        <w:autoSpaceDE w:val="0"/>
        <w:autoSpaceDN w:val="0"/>
        <w:adjustRightInd w:val="0"/>
        <w:spacing w:after="0"/>
        <w:jc w:val="both"/>
      </w:pPr>
      <w:r w:rsidRPr="00DA28D1">
        <w:rPr>
          <w:rFonts w:eastAsia="Times New Roman" w:cstheme="minorHAnsi"/>
        </w:rPr>
        <w:t xml:space="preserve">The Unitrans bidder’s list was reviewed and analyzed to determine where Unitrans spends the substantial majority of its contracting dollars. The </w:t>
      </w:r>
      <w:r w:rsidR="00832F11" w:rsidRPr="00DA28D1">
        <w:t xml:space="preserve">previously recognized market area of </w:t>
      </w:r>
      <w:r w:rsidR="00974E5C" w:rsidRPr="00DA28D1">
        <w:t>Sacramento, Solano, and Yolo counties</w:t>
      </w:r>
      <w:r w:rsidRPr="00DA28D1">
        <w:t xml:space="preserve"> remain the valid market area.</w:t>
      </w:r>
    </w:p>
    <w:p w14:paraId="56E14A0D" w14:textId="77777777" w:rsidR="00DA28D1" w:rsidRPr="00632235" w:rsidRDefault="00DA28D1" w:rsidP="00DA28D1">
      <w:pPr>
        <w:autoSpaceDE w:val="0"/>
        <w:autoSpaceDN w:val="0"/>
        <w:adjustRightInd w:val="0"/>
        <w:spacing w:after="0"/>
        <w:jc w:val="both"/>
        <w:rPr>
          <w:rFonts w:eastAsia="Times New Roman" w:cstheme="minorHAnsi"/>
        </w:rPr>
      </w:pPr>
    </w:p>
    <w:p w14:paraId="42559B61" w14:textId="7E92D770" w:rsidR="0048495F" w:rsidRDefault="0048495F" w:rsidP="005A0C48">
      <w:pPr>
        <w:pStyle w:val="Heading2"/>
      </w:pPr>
      <w:r w:rsidRPr="00DA28D1">
        <w:t>Anticipated Projects</w:t>
      </w:r>
    </w:p>
    <w:p w14:paraId="63CCB8F4" w14:textId="574BF2ED" w:rsidR="008E1EEF" w:rsidRDefault="008E1EEF" w:rsidP="008E1EEF">
      <w:pPr>
        <w:autoSpaceDE w:val="0"/>
        <w:autoSpaceDN w:val="0"/>
        <w:adjustRightInd w:val="0"/>
        <w:jc w:val="both"/>
        <w:rPr>
          <w:rFonts w:eastAsia="Times New Roman" w:cstheme="minorHAnsi"/>
        </w:rPr>
      </w:pPr>
      <w:r>
        <w:rPr>
          <w:rFonts w:eastAsia="Times New Roman" w:cstheme="minorHAnsi"/>
        </w:rPr>
        <w:t xml:space="preserve">Unitrans </w:t>
      </w:r>
      <w:r w:rsidRPr="002A252F">
        <w:rPr>
          <w:rFonts w:eastAsia="Times New Roman" w:cstheme="minorHAnsi"/>
        </w:rPr>
        <w:t xml:space="preserve">has </w:t>
      </w:r>
      <w:r w:rsidR="00632235">
        <w:rPr>
          <w:rFonts w:eastAsia="Times New Roman" w:cstheme="minorHAnsi"/>
        </w:rPr>
        <w:t xml:space="preserve">three (3) </w:t>
      </w:r>
      <w:r w:rsidRPr="002A252F">
        <w:rPr>
          <w:rFonts w:eastAsia="Times New Roman" w:cstheme="minorHAnsi"/>
        </w:rPr>
        <w:t>F</w:t>
      </w:r>
      <w:r>
        <w:rPr>
          <w:rFonts w:eastAsia="Times New Roman" w:cstheme="minorHAnsi"/>
        </w:rPr>
        <w:t>T</w:t>
      </w:r>
      <w:r w:rsidRPr="002A252F">
        <w:rPr>
          <w:rFonts w:eastAsia="Times New Roman" w:cstheme="minorHAnsi"/>
        </w:rPr>
        <w:t xml:space="preserve">A-assisted projects that are anticipated to be awarded during the triennial period and which were considered in preparing this goal methodology. The projects, </w:t>
      </w:r>
      <w:r w:rsidRPr="00632235">
        <w:rPr>
          <w:rFonts w:eastAsia="Times New Roman" w:cstheme="minorHAnsi"/>
        </w:rPr>
        <w:t xml:space="preserve">which include construction and </w:t>
      </w:r>
      <w:r w:rsidRPr="00632235">
        <w:rPr>
          <w:rFonts w:eastAsia="Times New Roman" w:cstheme="minorHAnsi"/>
        </w:rPr>
        <w:lastRenderedPageBreak/>
        <w:t>professional services contracting opportunities, have potential subcontracting opportunities. These pro</w:t>
      </w:r>
      <w:r w:rsidRPr="002A252F">
        <w:rPr>
          <w:rFonts w:eastAsia="Times New Roman" w:cstheme="minorHAnsi"/>
        </w:rPr>
        <w:t xml:space="preserve">jects and their federal share are listed in Table 1. </w:t>
      </w:r>
      <w:bookmarkStart w:id="0" w:name="_Hlk478468734"/>
    </w:p>
    <w:p w14:paraId="41FAFBE4" w14:textId="77777777" w:rsidR="00E07F8A" w:rsidRPr="00E07F8A" w:rsidRDefault="00E07F8A" w:rsidP="00E07F8A">
      <w:pPr>
        <w:autoSpaceDE w:val="0"/>
        <w:autoSpaceDN w:val="0"/>
        <w:adjustRightInd w:val="0"/>
        <w:spacing w:after="0"/>
        <w:jc w:val="both"/>
        <w:rPr>
          <w:rFonts w:eastAsia="Times New Roman" w:cstheme="minorHAnsi"/>
        </w:rPr>
      </w:pPr>
    </w:p>
    <w:p w14:paraId="3FE052BD" w14:textId="77777777" w:rsidR="008E1EEF" w:rsidRPr="002A252F" w:rsidRDefault="008E1EEF" w:rsidP="008E1EEF">
      <w:pPr>
        <w:autoSpaceDE w:val="0"/>
        <w:autoSpaceDN w:val="0"/>
        <w:adjustRightInd w:val="0"/>
        <w:spacing w:after="0"/>
        <w:jc w:val="center"/>
        <w:rPr>
          <w:rFonts w:eastAsia="Times New Roman" w:cstheme="minorHAnsi"/>
          <w:b/>
          <w:szCs w:val="20"/>
        </w:rPr>
      </w:pPr>
      <w:r w:rsidRPr="002A252F">
        <w:rPr>
          <w:rFonts w:eastAsia="Times New Roman" w:cstheme="minorHAnsi"/>
          <w:b/>
          <w:szCs w:val="20"/>
        </w:rPr>
        <w:t xml:space="preserve">TABLE 1 </w:t>
      </w:r>
    </w:p>
    <w:p w14:paraId="1BD2FE4B" w14:textId="77777777" w:rsidR="008E1EEF" w:rsidRPr="00AC06A8" w:rsidRDefault="008E1EEF" w:rsidP="008E1EEF">
      <w:pPr>
        <w:autoSpaceDE w:val="0"/>
        <w:autoSpaceDN w:val="0"/>
        <w:adjustRightInd w:val="0"/>
        <w:spacing w:after="0"/>
        <w:jc w:val="center"/>
        <w:rPr>
          <w:rFonts w:eastAsia="Times New Roman" w:cstheme="minorHAnsi"/>
          <w:bCs/>
          <w:i/>
          <w:iCs/>
          <w:szCs w:val="20"/>
        </w:rPr>
      </w:pPr>
      <w:r w:rsidRPr="00AC06A8">
        <w:rPr>
          <w:rFonts w:eastAsia="Times New Roman" w:cstheme="minorHAnsi"/>
          <w:bCs/>
          <w:i/>
          <w:iCs/>
          <w:szCs w:val="20"/>
        </w:rPr>
        <w:t>(amounts subject to rounding differences)</w:t>
      </w:r>
    </w:p>
    <w:tbl>
      <w:tblPr>
        <w:tblW w:w="10164" w:type="dxa"/>
        <w:tblInd w:w="-10" w:type="dxa"/>
        <w:tblLook w:val="04A0" w:firstRow="1" w:lastRow="0" w:firstColumn="1" w:lastColumn="0" w:noHBand="0" w:noVBand="1"/>
      </w:tblPr>
      <w:tblGrid>
        <w:gridCol w:w="5616"/>
        <w:gridCol w:w="1674"/>
        <w:gridCol w:w="1440"/>
        <w:gridCol w:w="1434"/>
      </w:tblGrid>
      <w:tr w:rsidR="008E1EEF" w:rsidRPr="00AC06A8" w14:paraId="013B57C7" w14:textId="77777777" w:rsidTr="00632235">
        <w:trPr>
          <w:trHeight w:val="710"/>
          <w:tblHeader/>
        </w:trPr>
        <w:tc>
          <w:tcPr>
            <w:tcW w:w="5616" w:type="dxa"/>
            <w:tcBorders>
              <w:top w:val="single" w:sz="4" w:space="0" w:color="auto"/>
              <w:left w:val="single" w:sz="4" w:space="0" w:color="auto"/>
              <w:bottom w:val="single" w:sz="4" w:space="0" w:color="auto"/>
              <w:right w:val="single" w:sz="4" w:space="0" w:color="auto"/>
            </w:tcBorders>
            <w:shd w:val="clear" w:color="auto" w:fill="444444" w:themeFill="text1"/>
            <w:vAlign w:val="center"/>
          </w:tcPr>
          <w:p w14:paraId="087250BA" w14:textId="77777777" w:rsidR="008E1EEF" w:rsidRPr="00AC06A8" w:rsidRDefault="008E1EEF" w:rsidP="001C440D">
            <w:pPr>
              <w:spacing w:after="0"/>
              <w:jc w:val="center"/>
            </w:pPr>
            <w:r w:rsidRPr="00C73C6D">
              <w:rPr>
                <w:rFonts w:ascii="Calibri" w:eastAsia="Times New Roman" w:hAnsi="Calibri" w:cs="Calibri"/>
                <w:b/>
                <w:bCs/>
                <w:color w:val="FFFFFF"/>
                <w:sz w:val="20"/>
                <w:szCs w:val="20"/>
              </w:rPr>
              <w:t>PROJECT NAME/DESCRIPTION</w:t>
            </w:r>
            <w:r w:rsidRPr="00AC06A8">
              <w:rPr>
                <w:rStyle w:val="FootnoteReference"/>
                <w:rFonts w:ascii="Calibri" w:eastAsia="Times New Roman" w:hAnsi="Calibri" w:cs="Calibri"/>
                <w:b/>
                <w:bCs/>
                <w:color w:val="FFFFFF"/>
              </w:rPr>
              <w:footnoteReference w:id="1"/>
            </w:r>
          </w:p>
        </w:tc>
        <w:tc>
          <w:tcPr>
            <w:tcW w:w="1674" w:type="dxa"/>
            <w:tcBorders>
              <w:top w:val="single" w:sz="4" w:space="0" w:color="auto"/>
              <w:left w:val="nil"/>
              <w:bottom w:val="single" w:sz="4" w:space="0" w:color="auto"/>
              <w:right w:val="single" w:sz="4" w:space="0" w:color="auto"/>
            </w:tcBorders>
            <w:shd w:val="clear" w:color="auto" w:fill="444444" w:themeFill="text1"/>
            <w:vAlign w:val="center"/>
          </w:tcPr>
          <w:p w14:paraId="248F9C01" w14:textId="77777777" w:rsidR="008E1EEF" w:rsidRPr="00AC06A8" w:rsidRDefault="008E1EEF" w:rsidP="001C440D">
            <w:pPr>
              <w:spacing w:after="0"/>
              <w:jc w:val="center"/>
            </w:pPr>
            <w:r w:rsidRPr="00C73C6D">
              <w:rPr>
                <w:rFonts w:ascii="Calibri" w:eastAsia="Times New Roman" w:hAnsi="Calibri" w:cs="Calibri"/>
                <w:b/>
                <w:bCs/>
                <w:color w:val="FFFFFF"/>
                <w:sz w:val="20"/>
                <w:szCs w:val="20"/>
              </w:rPr>
              <w:t xml:space="preserve">EST. TOTAL PROJECT COST </w:t>
            </w:r>
            <w:r w:rsidRPr="00AC06A8">
              <w:rPr>
                <w:rStyle w:val="FootnoteReference"/>
                <w:rFonts w:ascii="Calibri" w:eastAsia="Times New Roman" w:hAnsi="Calibri" w:cs="Calibri"/>
                <w:b/>
                <w:bCs/>
                <w:color w:val="FFFFFF"/>
              </w:rPr>
              <w:footnoteReference w:id="2"/>
            </w:r>
          </w:p>
        </w:tc>
        <w:tc>
          <w:tcPr>
            <w:tcW w:w="1440" w:type="dxa"/>
            <w:tcBorders>
              <w:top w:val="single" w:sz="4" w:space="0" w:color="auto"/>
              <w:left w:val="nil"/>
              <w:bottom w:val="single" w:sz="4" w:space="0" w:color="auto"/>
              <w:right w:val="single" w:sz="4" w:space="0" w:color="auto"/>
            </w:tcBorders>
            <w:shd w:val="clear" w:color="auto" w:fill="444444" w:themeFill="text1"/>
            <w:vAlign w:val="center"/>
          </w:tcPr>
          <w:p w14:paraId="3460A130" w14:textId="4D7D4256" w:rsidR="008E1EEF" w:rsidRPr="00AC06A8" w:rsidRDefault="008E1EEF" w:rsidP="001C440D">
            <w:pPr>
              <w:spacing w:after="0"/>
              <w:jc w:val="center"/>
            </w:pPr>
            <w:r w:rsidRPr="00C73C6D">
              <w:rPr>
                <w:rFonts w:ascii="Calibri" w:eastAsia="Times New Roman" w:hAnsi="Calibri" w:cs="Calibri"/>
                <w:b/>
                <w:bCs/>
                <w:color w:val="FFFFFF"/>
                <w:sz w:val="20"/>
                <w:szCs w:val="20"/>
              </w:rPr>
              <w:t>EST. F</w:t>
            </w:r>
            <w:r w:rsidR="00333A16" w:rsidRPr="00C73C6D">
              <w:rPr>
                <w:rFonts w:ascii="Calibri" w:eastAsia="Times New Roman" w:hAnsi="Calibri" w:cs="Calibri"/>
                <w:b/>
                <w:bCs/>
                <w:color w:val="FFFFFF"/>
                <w:sz w:val="20"/>
                <w:szCs w:val="20"/>
              </w:rPr>
              <w:t>T</w:t>
            </w:r>
            <w:r w:rsidRPr="00C73C6D">
              <w:rPr>
                <w:rFonts w:ascii="Calibri" w:eastAsia="Times New Roman" w:hAnsi="Calibri" w:cs="Calibri"/>
                <w:b/>
                <w:bCs/>
                <w:color w:val="FFFFFF"/>
                <w:sz w:val="20"/>
                <w:szCs w:val="20"/>
              </w:rPr>
              <w:t>A $ SHARE</w:t>
            </w:r>
            <w:r w:rsidRPr="00AC06A8">
              <w:rPr>
                <w:rStyle w:val="FootnoteReference"/>
                <w:rFonts w:ascii="Calibri" w:eastAsia="Times New Roman" w:hAnsi="Calibri" w:cs="Calibri"/>
                <w:b/>
                <w:bCs/>
                <w:color w:val="FFFFFF"/>
              </w:rPr>
              <w:footnoteReference w:id="3"/>
            </w:r>
          </w:p>
        </w:tc>
        <w:tc>
          <w:tcPr>
            <w:tcW w:w="1434" w:type="dxa"/>
            <w:tcBorders>
              <w:top w:val="single" w:sz="4" w:space="0" w:color="auto"/>
              <w:left w:val="nil"/>
              <w:bottom w:val="single" w:sz="4" w:space="0" w:color="auto"/>
              <w:right w:val="single" w:sz="4" w:space="0" w:color="auto"/>
            </w:tcBorders>
            <w:shd w:val="clear" w:color="auto" w:fill="444444" w:themeFill="text1"/>
            <w:vAlign w:val="center"/>
          </w:tcPr>
          <w:p w14:paraId="7A148B92" w14:textId="5753523A" w:rsidR="008E1EEF" w:rsidRPr="00AC06A8" w:rsidRDefault="008E1EEF" w:rsidP="001C440D">
            <w:pPr>
              <w:spacing w:after="0"/>
              <w:jc w:val="center"/>
              <w:rPr>
                <w:rFonts w:ascii="Calibri" w:eastAsia="Times New Roman" w:hAnsi="Calibri" w:cs="Calibri"/>
                <w:b/>
                <w:bCs/>
                <w:color w:val="FFFFFF"/>
              </w:rPr>
            </w:pPr>
            <w:r w:rsidRPr="00C73C6D">
              <w:rPr>
                <w:rFonts w:ascii="Calibri" w:eastAsia="Times New Roman" w:hAnsi="Calibri" w:cs="Calibri"/>
                <w:b/>
                <w:bCs/>
                <w:color w:val="FFFFFF"/>
                <w:sz w:val="20"/>
                <w:szCs w:val="20"/>
              </w:rPr>
              <w:t>EST. F</w:t>
            </w:r>
            <w:r w:rsidR="00333A16" w:rsidRPr="00C73C6D">
              <w:rPr>
                <w:rFonts w:ascii="Calibri" w:eastAsia="Times New Roman" w:hAnsi="Calibri" w:cs="Calibri"/>
                <w:b/>
                <w:bCs/>
                <w:color w:val="FFFFFF"/>
                <w:sz w:val="20"/>
                <w:szCs w:val="20"/>
              </w:rPr>
              <w:t>T</w:t>
            </w:r>
            <w:r w:rsidRPr="00C73C6D">
              <w:rPr>
                <w:rFonts w:ascii="Calibri" w:eastAsia="Times New Roman" w:hAnsi="Calibri" w:cs="Calibri"/>
                <w:b/>
                <w:bCs/>
                <w:color w:val="FFFFFF"/>
                <w:sz w:val="20"/>
                <w:szCs w:val="20"/>
              </w:rPr>
              <w:t>A % SHARE</w:t>
            </w:r>
            <w:r w:rsidRPr="00AC06A8">
              <w:rPr>
                <w:rStyle w:val="FootnoteReference"/>
                <w:rFonts w:ascii="Calibri" w:eastAsia="Times New Roman" w:hAnsi="Calibri" w:cs="Calibri"/>
                <w:b/>
                <w:bCs/>
                <w:color w:val="FFFFFF"/>
              </w:rPr>
              <w:footnoteReference w:id="4"/>
            </w:r>
          </w:p>
        </w:tc>
      </w:tr>
      <w:tr w:rsidR="001C29BE" w:rsidRPr="00AC06A8" w14:paraId="445EC5BA" w14:textId="77777777" w:rsidTr="00632235">
        <w:trPr>
          <w:trHeight w:val="64"/>
        </w:trPr>
        <w:tc>
          <w:tcPr>
            <w:tcW w:w="5616" w:type="dxa"/>
            <w:tcBorders>
              <w:top w:val="single" w:sz="4" w:space="0" w:color="auto"/>
              <w:left w:val="single" w:sz="4" w:space="0" w:color="auto"/>
              <w:bottom w:val="single" w:sz="4" w:space="0" w:color="auto"/>
              <w:right w:val="single" w:sz="4" w:space="0" w:color="auto"/>
            </w:tcBorders>
            <w:shd w:val="clear" w:color="auto" w:fill="auto"/>
          </w:tcPr>
          <w:p w14:paraId="5CA32AF5" w14:textId="3C6ABB77" w:rsidR="001C29BE" w:rsidRPr="00C73C6D" w:rsidRDefault="001C29BE" w:rsidP="001C29BE">
            <w:pPr>
              <w:spacing w:after="0"/>
              <w:rPr>
                <w:rFonts w:ascii="Calibri" w:eastAsia="Times New Roman" w:hAnsi="Calibri" w:cs="Calibri"/>
                <w:color w:val="000000"/>
                <w:sz w:val="20"/>
                <w:szCs w:val="20"/>
              </w:rPr>
            </w:pPr>
            <w:r w:rsidRPr="00C73C6D">
              <w:rPr>
                <w:rFonts w:ascii="Calibri" w:hAnsi="Calibri" w:cs="Calibri"/>
                <w:color w:val="000000"/>
                <w:sz w:val="20"/>
                <w:szCs w:val="20"/>
              </w:rPr>
              <w:t>Phase 2 Electric Bus Infrastructure and Chargers: Infrastructure and charging equipment to support up to 16 battery electric buses. In addition, repaving the northern half of the bus yard, installing new security fencing and mechanized gates, adding stormwater retention areas per State compliance regulations, and reconfiguring western parking area to accommodate revenue vehicles.</w:t>
            </w:r>
          </w:p>
        </w:tc>
        <w:tc>
          <w:tcPr>
            <w:tcW w:w="1674" w:type="dxa"/>
            <w:tcBorders>
              <w:top w:val="single" w:sz="4" w:space="0" w:color="auto"/>
              <w:left w:val="nil"/>
              <w:bottom w:val="single" w:sz="4" w:space="0" w:color="auto"/>
              <w:right w:val="single" w:sz="4" w:space="0" w:color="auto"/>
            </w:tcBorders>
            <w:shd w:val="clear" w:color="000000" w:fill="FFFFFF"/>
          </w:tcPr>
          <w:p w14:paraId="7AB3E5A6" w14:textId="4AD9A3B9" w:rsidR="001C29BE" w:rsidRPr="00C73C6D" w:rsidRDefault="001C29BE" w:rsidP="001C29BE">
            <w:pPr>
              <w:spacing w:after="0"/>
              <w:jc w:val="right"/>
              <w:rPr>
                <w:rFonts w:ascii="Calibri" w:eastAsia="Times New Roman" w:hAnsi="Calibri" w:cs="Calibri"/>
                <w:sz w:val="20"/>
                <w:szCs w:val="20"/>
              </w:rPr>
            </w:pPr>
            <w:r w:rsidRPr="00C73C6D">
              <w:rPr>
                <w:rFonts w:ascii="Calibri" w:hAnsi="Calibri" w:cs="Calibri"/>
                <w:color w:val="000000"/>
                <w:sz w:val="20"/>
                <w:szCs w:val="20"/>
              </w:rPr>
              <w:t>$8,500,000</w:t>
            </w:r>
          </w:p>
        </w:tc>
        <w:tc>
          <w:tcPr>
            <w:tcW w:w="1440" w:type="dxa"/>
            <w:tcBorders>
              <w:top w:val="single" w:sz="4" w:space="0" w:color="auto"/>
              <w:left w:val="nil"/>
              <w:bottom w:val="single" w:sz="4" w:space="0" w:color="auto"/>
              <w:right w:val="single" w:sz="4" w:space="0" w:color="auto"/>
            </w:tcBorders>
            <w:shd w:val="clear" w:color="000000" w:fill="FFFFFF"/>
          </w:tcPr>
          <w:p w14:paraId="627E0524" w14:textId="1A6ADEBB" w:rsidR="001C29BE" w:rsidRPr="00C73C6D" w:rsidRDefault="001C29BE" w:rsidP="001C29BE">
            <w:pPr>
              <w:spacing w:after="0"/>
              <w:jc w:val="right"/>
              <w:rPr>
                <w:rFonts w:ascii="Calibri" w:eastAsia="Times New Roman" w:hAnsi="Calibri" w:cs="Calibri"/>
                <w:sz w:val="20"/>
                <w:szCs w:val="20"/>
              </w:rPr>
            </w:pPr>
            <w:r w:rsidRPr="00C73C6D">
              <w:rPr>
                <w:rFonts w:ascii="Calibri" w:hAnsi="Calibri" w:cs="Calibri"/>
                <w:color w:val="000000"/>
                <w:sz w:val="20"/>
                <w:szCs w:val="20"/>
              </w:rPr>
              <w:t>$6,800,000</w:t>
            </w:r>
          </w:p>
        </w:tc>
        <w:tc>
          <w:tcPr>
            <w:tcW w:w="1434" w:type="dxa"/>
            <w:tcBorders>
              <w:top w:val="single" w:sz="4" w:space="0" w:color="auto"/>
              <w:left w:val="nil"/>
              <w:bottom w:val="single" w:sz="4" w:space="0" w:color="auto"/>
              <w:right w:val="single" w:sz="4" w:space="0" w:color="auto"/>
            </w:tcBorders>
            <w:shd w:val="clear" w:color="000000" w:fill="FFFFFF"/>
          </w:tcPr>
          <w:p w14:paraId="17982F64" w14:textId="10EF5C57" w:rsidR="001C29BE" w:rsidRPr="00C73C6D" w:rsidRDefault="001C29BE" w:rsidP="001C29BE">
            <w:pPr>
              <w:spacing w:after="0"/>
              <w:jc w:val="center"/>
              <w:rPr>
                <w:rFonts w:ascii="Calibri" w:eastAsia="Times New Roman" w:hAnsi="Calibri" w:cs="Calibri"/>
                <w:sz w:val="20"/>
                <w:szCs w:val="20"/>
              </w:rPr>
            </w:pPr>
            <w:r w:rsidRPr="00C73C6D">
              <w:rPr>
                <w:rFonts w:ascii="Calibri" w:hAnsi="Calibri" w:cs="Calibri"/>
                <w:color w:val="000000"/>
                <w:sz w:val="20"/>
                <w:szCs w:val="20"/>
              </w:rPr>
              <w:t>80%</w:t>
            </w:r>
          </w:p>
        </w:tc>
      </w:tr>
      <w:tr w:rsidR="00F92C3F" w:rsidRPr="00AC06A8" w14:paraId="01303F71" w14:textId="77777777" w:rsidTr="00632235">
        <w:trPr>
          <w:trHeight w:val="64"/>
        </w:trPr>
        <w:tc>
          <w:tcPr>
            <w:tcW w:w="5616" w:type="dxa"/>
            <w:tcBorders>
              <w:top w:val="nil"/>
              <w:left w:val="single" w:sz="4" w:space="0" w:color="auto"/>
              <w:bottom w:val="single" w:sz="4" w:space="0" w:color="auto"/>
              <w:right w:val="single" w:sz="4" w:space="0" w:color="auto"/>
            </w:tcBorders>
            <w:shd w:val="clear" w:color="auto" w:fill="auto"/>
          </w:tcPr>
          <w:p w14:paraId="02D44578" w14:textId="28AACC4E" w:rsidR="00F92C3F" w:rsidRPr="00C73C6D" w:rsidRDefault="00F92C3F" w:rsidP="00F92C3F">
            <w:pPr>
              <w:spacing w:after="0"/>
              <w:rPr>
                <w:rFonts w:ascii="Calibri" w:eastAsia="Times New Roman" w:hAnsi="Calibri" w:cs="Calibri"/>
                <w:color w:val="000000"/>
                <w:sz w:val="20"/>
                <w:szCs w:val="20"/>
              </w:rPr>
            </w:pPr>
            <w:bookmarkStart w:id="1" w:name="RANGE!A3"/>
            <w:r w:rsidRPr="00C73C6D">
              <w:rPr>
                <w:rFonts w:ascii="Calibri" w:hAnsi="Calibri" w:cs="Calibri"/>
                <w:color w:val="000000"/>
                <w:sz w:val="20"/>
                <w:szCs w:val="20"/>
              </w:rPr>
              <w:t>Miscellaneous Bus Stop Improvements: Miscellaneous bus stop infrastructure accessibility improvements across bus stops in the city. No specific locations or projects budgeted at this point.</w:t>
            </w:r>
            <w:bookmarkEnd w:id="1"/>
          </w:p>
        </w:tc>
        <w:tc>
          <w:tcPr>
            <w:tcW w:w="1674" w:type="dxa"/>
            <w:tcBorders>
              <w:top w:val="nil"/>
              <w:left w:val="nil"/>
              <w:bottom w:val="single" w:sz="4" w:space="0" w:color="auto"/>
              <w:right w:val="single" w:sz="4" w:space="0" w:color="auto"/>
            </w:tcBorders>
            <w:shd w:val="clear" w:color="000000" w:fill="FFFFFF"/>
          </w:tcPr>
          <w:p w14:paraId="2479B85B" w14:textId="6E4705CC" w:rsidR="00F92C3F" w:rsidRPr="00C73C6D" w:rsidRDefault="00F92C3F" w:rsidP="00F92C3F">
            <w:pPr>
              <w:spacing w:after="0"/>
              <w:jc w:val="right"/>
              <w:rPr>
                <w:rFonts w:ascii="Calibri" w:eastAsia="Times New Roman" w:hAnsi="Calibri" w:cs="Calibri"/>
                <w:sz w:val="20"/>
                <w:szCs w:val="20"/>
              </w:rPr>
            </w:pPr>
            <w:r w:rsidRPr="00C73C6D">
              <w:rPr>
                <w:rFonts w:ascii="Calibri" w:hAnsi="Calibri" w:cs="Calibri"/>
                <w:color w:val="000000"/>
                <w:sz w:val="20"/>
                <w:szCs w:val="20"/>
              </w:rPr>
              <w:t>$575,000</w:t>
            </w:r>
          </w:p>
        </w:tc>
        <w:tc>
          <w:tcPr>
            <w:tcW w:w="1440" w:type="dxa"/>
            <w:tcBorders>
              <w:top w:val="nil"/>
              <w:left w:val="nil"/>
              <w:bottom w:val="single" w:sz="4" w:space="0" w:color="auto"/>
              <w:right w:val="single" w:sz="4" w:space="0" w:color="auto"/>
            </w:tcBorders>
            <w:shd w:val="clear" w:color="000000" w:fill="FFFFFF"/>
          </w:tcPr>
          <w:p w14:paraId="6CA23188" w14:textId="35B64857" w:rsidR="00F92C3F" w:rsidRPr="00C73C6D" w:rsidRDefault="00F92C3F" w:rsidP="00F92C3F">
            <w:pPr>
              <w:spacing w:after="0"/>
              <w:jc w:val="right"/>
              <w:rPr>
                <w:rFonts w:ascii="Calibri" w:eastAsia="Times New Roman" w:hAnsi="Calibri" w:cs="Calibri"/>
                <w:sz w:val="20"/>
                <w:szCs w:val="20"/>
              </w:rPr>
            </w:pPr>
            <w:r w:rsidRPr="00C73C6D">
              <w:rPr>
                <w:rFonts w:ascii="Calibri" w:hAnsi="Calibri" w:cs="Calibri"/>
                <w:color w:val="000000"/>
                <w:sz w:val="20"/>
                <w:szCs w:val="20"/>
              </w:rPr>
              <w:t>$460,000</w:t>
            </w:r>
          </w:p>
        </w:tc>
        <w:tc>
          <w:tcPr>
            <w:tcW w:w="1434" w:type="dxa"/>
            <w:tcBorders>
              <w:top w:val="nil"/>
              <w:left w:val="nil"/>
              <w:bottom w:val="single" w:sz="4" w:space="0" w:color="auto"/>
              <w:right w:val="single" w:sz="4" w:space="0" w:color="auto"/>
            </w:tcBorders>
            <w:shd w:val="clear" w:color="000000" w:fill="FFFFFF"/>
          </w:tcPr>
          <w:p w14:paraId="25532146" w14:textId="2D01F45E" w:rsidR="00F92C3F" w:rsidRPr="00C73C6D" w:rsidRDefault="00F92C3F" w:rsidP="00F92C3F">
            <w:pPr>
              <w:spacing w:after="0"/>
              <w:jc w:val="center"/>
              <w:rPr>
                <w:rFonts w:ascii="Calibri" w:eastAsia="Times New Roman" w:hAnsi="Calibri" w:cs="Calibri"/>
                <w:sz w:val="20"/>
                <w:szCs w:val="20"/>
              </w:rPr>
            </w:pPr>
            <w:r w:rsidRPr="00C73C6D">
              <w:rPr>
                <w:rFonts w:ascii="Calibri" w:hAnsi="Calibri" w:cs="Calibri"/>
                <w:color w:val="000000"/>
                <w:sz w:val="20"/>
                <w:szCs w:val="20"/>
              </w:rPr>
              <w:t>80%</w:t>
            </w:r>
          </w:p>
        </w:tc>
      </w:tr>
      <w:tr w:rsidR="00F92C3F" w:rsidRPr="00AC06A8" w14:paraId="410FEB0C" w14:textId="77777777" w:rsidTr="00632235">
        <w:trPr>
          <w:trHeight w:val="70"/>
        </w:trPr>
        <w:tc>
          <w:tcPr>
            <w:tcW w:w="5616" w:type="dxa"/>
            <w:tcBorders>
              <w:top w:val="nil"/>
              <w:left w:val="single" w:sz="4" w:space="0" w:color="auto"/>
              <w:bottom w:val="single" w:sz="4" w:space="0" w:color="auto"/>
              <w:right w:val="single" w:sz="4" w:space="0" w:color="auto"/>
            </w:tcBorders>
            <w:shd w:val="clear" w:color="auto" w:fill="auto"/>
          </w:tcPr>
          <w:p w14:paraId="32FE90B1" w14:textId="4D02B9A3" w:rsidR="00F92C3F" w:rsidRPr="00C73C6D" w:rsidRDefault="00F92C3F" w:rsidP="00F92C3F">
            <w:pPr>
              <w:spacing w:after="0"/>
              <w:rPr>
                <w:rFonts w:ascii="Calibri" w:eastAsia="Times New Roman" w:hAnsi="Calibri" w:cs="Calibri"/>
                <w:color w:val="000000"/>
                <w:sz w:val="20"/>
                <w:szCs w:val="20"/>
              </w:rPr>
            </w:pPr>
            <w:r w:rsidRPr="00C73C6D">
              <w:rPr>
                <w:rFonts w:ascii="Calibri" w:hAnsi="Calibri" w:cs="Calibri"/>
                <w:color w:val="000000"/>
                <w:sz w:val="20"/>
                <w:szCs w:val="20"/>
              </w:rPr>
              <w:t>Administrative Building Reconstruction: Demolish and reconstruct the administrative building at the Unitrans Operations and Maintenance Facility to a large, two-story facility to accommodate all Unitrans staff at one facility. Facility would include improved training space, workspace for all career and student staff, and improved break facilities.</w:t>
            </w:r>
          </w:p>
        </w:tc>
        <w:tc>
          <w:tcPr>
            <w:tcW w:w="1674" w:type="dxa"/>
            <w:tcBorders>
              <w:top w:val="nil"/>
              <w:left w:val="nil"/>
              <w:bottom w:val="single" w:sz="4" w:space="0" w:color="auto"/>
              <w:right w:val="single" w:sz="4" w:space="0" w:color="auto"/>
            </w:tcBorders>
            <w:shd w:val="clear" w:color="000000" w:fill="FFFFFF"/>
          </w:tcPr>
          <w:p w14:paraId="6B01AA72" w14:textId="46394D0F" w:rsidR="00F92C3F" w:rsidRPr="00C73C6D" w:rsidRDefault="00F92C3F" w:rsidP="00F92C3F">
            <w:pPr>
              <w:spacing w:after="0"/>
              <w:jc w:val="right"/>
              <w:rPr>
                <w:rFonts w:ascii="Calibri" w:eastAsia="Times New Roman" w:hAnsi="Calibri" w:cs="Calibri"/>
                <w:sz w:val="20"/>
                <w:szCs w:val="20"/>
              </w:rPr>
            </w:pPr>
            <w:r w:rsidRPr="00C73C6D">
              <w:rPr>
                <w:rFonts w:ascii="Calibri" w:hAnsi="Calibri" w:cs="Calibri"/>
                <w:color w:val="000000"/>
                <w:sz w:val="20"/>
                <w:szCs w:val="20"/>
              </w:rPr>
              <w:t>$8,500,000</w:t>
            </w:r>
          </w:p>
        </w:tc>
        <w:tc>
          <w:tcPr>
            <w:tcW w:w="1440" w:type="dxa"/>
            <w:tcBorders>
              <w:top w:val="nil"/>
              <w:left w:val="nil"/>
              <w:bottom w:val="single" w:sz="4" w:space="0" w:color="auto"/>
              <w:right w:val="single" w:sz="4" w:space="0" w:color="auto"/>
            </w:tcBorders>
            <w:shd w:val="clear" w:color="000000" w:fill="FFFFFF"/>
          </w:tcPr>
          <w:p w14:paraId="39F4BC15" w14:textId="1F4E0661" w:rsidR="00F92C3F" w:rsidRPr="00C73C6D" w:rsidRDefault="00F92C3F" w:rsidP="00F92C3F">
            <w:pPr>
              <w:spacing w:after="0"/>
              <w:jc w:val="right"/>
              <w:rPr>
                <w:rFonts w:ascii="Calibri" w:eastAsia="Times New Roman" w:hAnsi="Calibri" w:cs="Calibri"/>
                <w:sz w:val="20"/>
                <w:szCs w:val="20"/>
              </w:rPr>
            </w:pPr>
            <w:r w:rsidRPr="00C73C6D">
              <w:rPr>
                <w:rFonts w:ascii="Calibri" w:hAnsi="Calibri" w:cs="Calibri"/>
                <w:color w:val="000000"/>
                <w:sz w:val="20"/>
                <w:szCs w:val="20"/>
              </w:rPr>
              <w:t>$6,800,000</w:t>
            </w:r>
          </w:p>
        </w:tc>
        <w:tc>
          <w:tcPr>
            <w:tcW w:w="1434" w:type="dxa"/>
            <w:tcBorders>
              <w:top w:val="nil"/>
              <w:left w:val="nil"/>
              <w:bottom w:val="single" w:sz="4" w:space="0" w:color="auto"/>
              <w:right w:val="single" w:sz="4" w:space="0" w:color="auto"/>
            </w:tcBorders>
            <w:shd w:val="clear" w:color="000000" w:fill="FFFFFF"/>
          </w:tcPr>
          <w:p w14:paraId="7CE039A2" w14:textId="0F57671F" w:rsidR="00F92C3F" w:rsidRPr="00C73C6D" w:rsidRDefault="00F92C3F" w:rsidP="00F92C3F">
            <w:pPr>
              <w:spacing w:after="0"/>
              <w:jc w:val="center"/>
              <w:rPr>
                <w:rFonts w:ascii="Calibri" w:eastAsia="Times New Roman" w:hAnsi="Calibri" w:cs="Calibri"/>
                <w:sz w:val="20"/>
                <w:szCs w:val="20"/>
              </w:rPr>
            </w:pPr>
            <w:r w:rsidRPr="00C73C6D">
              <w:rPr>
                <w:rFonts w:ascii="Calibri" w:hAnsi="Calibri" w:cs="Calibri"/>
                <w:color w:val="000000"/>
                <w:sz w:val="20"/>
                <w:szCs w:val="20"/>
              </w:rPr>
              <w:t>80%</w:t>
            </w:r>
          </w:p>
        </w:tc>
      </w:tr>
      <w:tr w:rsidR="00A5480C" w:rsidRPr="00AC06A8" w14:paraId="323AB2CB" w14:textId="77777777" w:rsidTr="00632235">
        <w:trPr>
          <w:trHeight w:val="300"/>
        </w:trPr>
        <w:tc>
          <w:tcPr>
            <w:tcW w:w="5616" w:type="dxa"/>
            <w:tcBorders>
              <w:top w:val="nil"/>
              <w:left w:val="single" w:sz="4" w:space="0" w:color="auto"/>
              <w:bottom w:val="single" w:sz="4" w:space="0" w:color="auto"/>
              <w:right w:val="single" w:sz="4" w:space="0" w:color="auto"/>
            </w:tcBorders>
            <w:shd w:val="clear" w:color="auto" w:fill="444444" w:themeFill="text1"/>
            <w:vAlign w:val="center"/>
            <w:hideMark/>
          </w:tcPr>
          <w:p w14:paraId="06FC8B86" w14:textId="77777777" w:rsidR="00A5480C" w:rsidRPr="00C73C6D" w:rsidRDefault="00A5480C" w:rsidP="00A5480C">
            <w:pPr>
              <w:spacing w:after="0"/>
              <w:jc w:val="right"/>
              <w:rPr>
                <w:rFonts w:ascii="Calibri" w:eastAsia="Times New Roman" w:hAnsi="Calibri" w:cs="Calibri"/>
                <w:b/>
                <w:bCs/>
                <w:color w:val="FFFFFF" w:themeColor="background1"/>
                <w:sz w:val="20"/>
                <w:szCs w:val="20"/>
              </w:rPr>
            </w:pPr>
            <w:r w:rsidRPr="00C73C6D">
              <w:rPr>
                <w:rFonts w:ascii="Calibri" w:hAnsi="Calibri" w:cs="Calibri"/>
                <w:b/>
                <w:bCs/>
                <w:color w:val="FFFFFF" w:themeColor="background1"/>
                <w:sz w:val="20"/>
                <w:szCs w:val="20"/>
              </w:rPr>
              <w:t>Total </w:t>
            </w:r>
          </w:p>
        </w:tc>
        <w:tc>
          <w:tcPr>
            <w:tcW w:w="1674" w:type="dxa"/>
            <w:tcBorders>
              <w:top w:val="nil"/>
              <w:left w:val="nil"/>
              <w:bottom w:val="single" w:sz="4" w:space="0" w:color="auto"/>
              <w:right w:val="single" w:sz="4" w:space="0" w:color="auto"/>
            </w:tcBorders>
            <w:shd w:val="clear" w:color="auto" w:fill="444444" w:themeFill="text1"/>
            <w:hideMark/>
          </w:tcPr>
          <w:p w14:paraId="21813C98" w14:textId="0369E4B8" w:rsidR="00A5480C" w:rsidRPr="00C73C6D" w:rsidRDefault="00A5480C" w:rsidP="00A5480C">
            <w:pPr>
              <w:spacing w:after="0"/>
              <w:jc w:val="right"/>
              <w:rPr>
                <w:rFonts w:ascii="Calibri" w:eastAsia="Times New Roman" w:hAnsi="Calibri" w:cs="Calibri"/>
                <w:b/>
                <w:bCs/>
                <w:color w:val="FFFFFF" w:themeColor="background1"/>
                <w:sz w:val="20"/>
                <w:szCs w:val="20"/>
              </w:rPr>
            </w:pPr>
            <w:r w:rsidRPr="00C73C6D">
              <w:rPr>
                <w:rFonts w:ascii="Calibri" w:hAnsi="Calibri" w:cs="Calibri"/>
                <w:b/>
                <w:bCs/>
                <w:color w:val="FFFFFF" w:themeColor="background1"/>
                <w:sz w:val="20"/>
                <w:szCs w:val="20"/>
              </w:rPr>
              <w:t>$17,575,000</w:t>
            </w:r>
          </w:p>
        </w:tc>
        <w:tc>
          <w:tcPr>
            <w:tcW w:w="1440" w:type="dxa"/>
            <w:tcBorders>
              <w:top w:val="nil"/>
              <w:left w:val="nil"/>
              <w:bottom w:val="single" w:sz="4" w:space="0" w:color="auto"/>
              <w:right w:val="single" w:sz="4" w:space="0" w:color="auto"/>
            </w:tcBorders>
            <w:shd w:val="clear" w:color="auto" w:fill="444444" w:themeFill="text1"/>
            <w:hideMark/>
          </w:tcPr>
          <w:p w14:paraId="75FE4D6F" w14:textId="5F872B17" w:rsidR="00A5480C" w:rsidRPr="00C73C6D" w:rsidRDefault="00A5480C" w:rsidP="00A5480C">
            <w:pPr>
              <w:spacing w:after="0"/>
              <w:jc w:val="right"/>
              <w:rPr>
                <w:rFonts w:ascii="Calibri" w:eastAsia="Times New Roman" w:hAnsi="Calibri" w:cs="Calibri"/>
                <w:b/>
                <w:bCs/>
                <w:color w:val="FFFFFF" w:themeColor="background1"/>
                <w:sz w:val="20"/>
                <w:szCs w:val="20"/>
              </w:rPr>
            </w:pPr>
            <w:r w:rsidRPr="00C73C6D">
              <w:rPr>
                <w:rFonts w:ascii="Calibri" w:hAnsi="Calibri" w:cs="Calibri"/>
                <w:b/>
                <w:bCs/>
                <w:color w:val="FFFFFF" w:themeColor="background1"/>
                <w:sz w:val="20"/>
                <w:szCs w:val="20"/>
              </w:rPr>
              <w:t>$14,060,000</w:t>
            </w:r>
          </w:p>
        </w:tc>
        <w:tc>
          <w:tcPr>
            <w:tcW w:w="1434" w:type="dxa"/>
            <w:tcBorders>
              <w:top w:val="nil"/>
              <w:left w:val="nil"/>
              <w:bottom w:val="single" w:sz="4" w:space="0" w:color="auto"/>
              <w:right w:val="single" w:sz="4" w:space="0" w:color="auto"/>
            </w:tcBorders>
            <w:shd w:val="clear" w:color="auto" w:fill="444444" w:themeFill="text1"/>
            <w:hideMark/>
          </w:tcPr>
          <w:p w14:paraId="37EDA0B3" w14:textId="6105E874" w:rsidR="00A5480C" w:rsidRPr="00C73C6D" w:rsidRDefault="00A5480C" w:rsidP="00632235">
            <w:pPr>
              <w:spacing w:after="0"/>
              <w:jc w:val="center"/>
              <w:rPr>
                <w:rFonts w:ascii="Calibri" w:hAnsi="Calibri" w:cs="Calibri"/>
                <w:b/>
                <w:bCs/>
                <w:color w:val="FFFFFF" w:themeColor="background1"/>
                <w:sz w:val="20"/>
                <w:szCs w:val="20"/>
              </w:rPr>
            </w:pPr>
            <w:r w:rsidRPr="00C73C6D">
              <w:rPr>
                <w:rFonts w:ascii="Calibri" w:hAnsi="Calibri" w:cs="Calibri"/>
                <w:b/>
                <w:bCs/>
                <w:color w:val="FFFFFF" w:themeColor="background1"/>
                <w:sz w:val="20"/>
                <w:szCs w:val="20"/>
              </w:rPr>
              <w:t>80%</w:t>
            </w:r>
          </w:p>
        </w:tc>
      </w:tr>
    </w:tbl>
    <w:p w14:paraId="58117FD1" w14:textId="77777777" w:rsidR="00B90302" w:rsidRPr="00632235" w:rsidRDefault="00B90302" w:rsidP="00632235">
      <w:pPr>
        <w:autoSpaceDE w:val="0"/>
        <w:autoSpaceDN w:val="0"/>
        <w:adjustRightInd w:val="0"/>
        <w:spacing w:after="0"/>
        <w:jc w:val="both"/>
        <w:rPr>
          <w:rFonts w:eastAsia="Times New Roman" w:cstheme="minorHAnsi"/>
        </w:rPr>
      </w:pPr>
      <w:bookmarkStart w:id="2" w:name="_Toc106633813"/>
      <w:bookmarkStart w:id="3" w:name="_Toc109725262"/>
    </w:p>
    <w:p w14:paraId="10E9DF54" w14:textId="695AB653" w:rsidR="008E1EEF" w:rsidRPr="00E50F14" w:rsidRDefault="008E1EEF" w:rsidP="008E1EEF">
      <w:pPr>
        <w:pStyle w:val="Heading2"/>
        <w:rPr>
          <w:rFonts w:eastAsia="Times New Roman"/>
        </w:rPr>
      </w:pPr>
      <w:r w:rsidRPr="00E50F14">
        <w:rPr>
          <w:rFonts w:eastAsia="Times New Roman"/>
        </w:rPr>
        <w:t>Subrecipients</w:t>
      </w:r>
      <w:bookmarkEnd w:id="2"/>
      <w:bookmarkEnd w:id="3"/>
    </w:p>
    <w:bookmarkEnd w:id="0"/>
    <w:p w14:paraId="0DA466AB" w14:textId="02D415BE" w:rsidR="000C1E75" w:rsidRPr="00E50F14" w:rsidRDefault="00B60A2D" w:rsidP="00B90302">
      <w:pPr>
        <w:autoSpaceDE w:val="0"/>
        <w:autoSpaceDN w:val="0"/>
        <w:adjustRightInd w:val="0"/>
        <w:spacing w:after="0"/>
        <w:jc w:val="both"/>
        <w:rPr>
          <w:rFonts w:eastAsia="Times New Roman" w:cstheme="minorHAnsi"/>
        </w:rPr>
      </w:pPr>
      <w:r w:rsidRPr="00E50F14">
        <w:t>Unitrans</w:t>
      </w:r>
      <w:r w:rsidR="000C1E75" w:rsidRPr="00E50F14">
        <w:t xml:space="preserve"> </w:t>
      </w:r>
      <w:r w:rsidR="000C1E75" w:rsidRPr="00E50F14">
        <w:rPr>
          <w:rFonts w:eastAsia="Times New Roman" w:cstheme="minorHAnsi"/>
        </w:rPr>
        <w:t>does not</w:t>
      </w:r>
      <w:r w:rsidR="00CC0578" w:rsidRPr="00E50F14">
        <w:rPr>
          <w:rFonts w:eastAsia="Times New Roman" w:cstheme="minorHAnsi"/>
        </w:rPr>
        <w:t xml:space="preserve"> </w:t>
      </w:r>
      <w:r w:rsidR="00CC0578" w:rsidRPr="00E50F14">
        <w:t>reallocate</w:t>
      </w:r>
      <w:r w:rsidR="00CC0578" w:rsidRPr="00E50F14">
        <w:rPr>
          <w:rFonts w:eastAsia="Times New Roman" w:cstheme="minorHAnsi"/>
        </w:rPr>
        <w:t xml:space="preserve"> any FTA </w:t>
      </w:r>
      <w:r w:rsidR="000C1E75" w:rsidRPr="00E50F14">
        <w:rPr>
          <w:rFonts w:eastAsia="Times New Roman" w:cstheme="minorHAnsi"/>
        </w:rPr>
        <w:t>funds to subrecipients.</w:t>
      </w:r>
    </w:p>
    <w:p w14:paraId="5EE8540A" w14:textId="77777777" w:rsidR="00B90302" w:rsidRPr="00E50F14" w:rsidRDefault="00B90302" w:rsidP="00B90302">
      <w:pPr>
        <w:autoSpaceDE w:val="0"/>
        <w:autoSpaceDN w:val="0"/>
        <w:adjustRightInd w:val="0"/>
        <w:spacing w:after="0"/>
        <w:jc w:val="both"/>
        <w:rPr>
          <w:rFonts w:eastAsia="Times New Roman" w:cstheme="minorHAnsi"/>
        </w:rPr>
      </w:pPr>
    </w:p>
    <w:p w14:paraId="421EBAC3" w14:textId="7F1AB664" w:rsidR="000C1E75" w:rsidRPr="00E50F14" w:rsidRDefault="000C1E75" w:rsidP="005A0C48">
      <w:pPr>
        <w:pStyle w:val="Heading2"/>
      </w:pPr>
      <w:r w:rsidRPr="00E50F14">
        <w:t>Categories of Work</w:t>
      </w:r>
    </w:p>
    <w:p w14:paraId="6D6503F9" w14:textId="608B85DF" w:rsidR="000C1E75" w:rsidRDefault="00B60A2D" w:rsidP="000C1E75">
      <w:pPr>
        <w:autoSpaceDE w:val="0"/>
        <w:autoSpaceDN w:val="0"/>
        <w:adjustRightInd w:val="0"/>
        <w:spacing w:after="0"/>
        <w:jc w:val="both"/>
        <w:rPr>
          <w:rFonts w:eastAsia="Times New Roman" w:cstheme="minorHAnsi"/>
          <w:szCs w:val="20"/>
        </w:rPr>
      </w:pPr>
      <w:r w:rsidRPr="00E50F14">
        <w:t>Unitrans</w:t>
      </w:r>
      <w:r w:rsidR="000C1E75" w:rsidRPr="00E50F14">
        <w:t xml:space="preserve"> reviewed </w:t>
      </w:r>
      <w:r w:rsidR="00B90302" w:rsidRPr="00E50F14">
        <w:t xml:space="preserve">each </w:t>
      </w:r>
      <w:r w:rsidR="000C1E75" w:rsidRPr="00E50F14">
        <w:t>project</w:t>
      </w:r>
      <w:r w:rsidR="00B90302" w:rsidRPr="00E50F14">
        <w:t xml:space="preserve"> anticipated</w:t>
      </w:r>
      <w:r w:rsidR="000C1E75" w:rsidRPr="00E50F14">
        <w:t xml:space="preserve"> to be awarded </w:t>
      </w:r>
      <w:r w:rsidR="000C1E75" w:rsidRPr="00E50F14">
        <w:rPr>
          <w:rFonts w:eastAsia="Times New Roman" w:cstheme="minorHAnsi"/>
          <w:szCs w:val="20"/>
        </w:rPr>
        <w:t xml:space="preserve">in the triennial period and determined the categories of work applicable for each project using North American Industry Classification System (NAICS) codes. The corresponding dollar values for each NAICS code for </w:t>
      </w:r>
      <w:r w:rsidR="004C0EB9" w:rsidRPr="00E50F14">
        <w:rPr>
          <w:rFonts w:eastAsia="Times New Roman" w:cstheme="minorHAnsi"/>
          <w:szCs w:val="20"/>
        </w:rPr>
        <w:t>each</w:t>
      </w:r>
      <w:r w:rsidR="000C1E75" w:rsidRPr="00E50F14">
        <w:rPr>
          <w:rFonts w:eastAsia="Times New Roman" w:cstheme="minorHAnsi"/>
          <w:szCs w:val="20"/>
        </w:rPr>
        <w:t xml:space="preserve"> project were summarized for </w:t>
      </w:r>
      <w:r w:rsidR="00632235" w:rsidRPr="00E50F14">
        <w:rPr>
          <w:rFonts w:eastAsia="Times New Roman" w:cstheme="minorHAnsi"/>
          <w:szCs w:val="20"/>
        </w:rPr>
        <w:t>the purposes</w:t>
      </w:r>
      <w:r w:rsidR="000C1E75" w:rsidRPr="00E50F14">
        <w:rPr>
          <w:rFonts w:eastAsia="Times New Roman" w:cstheme="minorHAnsi"/>
          <w:szCs w:val="20"/>
        </w:rPr>
        <w:t xml:space="preserve"> of weighting the categories of work based on the staff estimates. Table 2 provides a summary of the categories of work with estimated dollars for each. </w:t>
      </w:r>
    </w:p>
    <w:p w14:paraId="7AA87CEF" w14:textId="77777777" w:rsidR="00D74A8C" w:rsidRDefault="00D74A8C" w:rsidP="000C1E75">
      <w:pPr>
        <w:autoSpaceDE w:val="0"/>
        <w:autoSpaceDN w:val="0"/>
        <w:adjustRightInd w:val="0"/>
        <w:spacing w:after="0"/>
        <w:jc w:val="both"/>
        <w:rPr>
          <w:rFonts w:eastAsia="Times New Roman" w:cstheme="minorHAnsi"/>
          <w:szCs w:val="20"/>
        </w:rPr>
      </w:pPr>
    </w:p>
    <w:p w14:paraId="0BA3E51E" w14:textId="77777777" w:rsidR="00D74A8C" w:rsidRDefault="00D74A8C" w:rsidP="000C1E75">
      <w:pPr>
        <w:autoSpaceDE w:val="0"/>
        <w:autoSpaceDN w:val="0"/>
        <w:adjustRightInd w:val="0"/>
        <w:spacing w:after="0"/>
        <w:jc w:val="both"/>
        <w:rPr>
          <w:rFonts w:eastAsia="Times New Roman" w:cstheme="minorHAnsi"/>
          <w:szCs w:val="20"/>
        </w:rPr>
      </w:pPr>
    </w:p>
    <w:p w14:paraId="7A868290" w14:textId="77777777" w:rsidR="00D74A8C" w:rsidRDefault="00D74A8C" w:rsidP="000C1E75">
      <w:pPr>
        <w:autoSpaceDE w:val="0"/>
        <w:autoSpaceDN w:val="0"/>
        <w:adjustRightInd w:val="0"/>
        <w:spacing w:after="0"/>
        <w:jc w:val="both"/>
        <w:rPr>
          <w:rFonts w:eastAsia="Times New Roman" w:cstheme="minorHAnsi"/>
          <w:szCs w:val="20"/>
        </w:rPr>
      </w:pPr>
    </w:p>
    <w:p w14:paraId="18DF6876" w14:textId="77777777" w:rsidR="00D74A8C" w:rsidRDefault="00D74A8C" w:rsidP="000C1E75">
      <w:pPr>
        <w:autoSpaceDE w:val="0"/>
        <w:autoSpaceDN w:val="0"/>
        <w:adjustRightInd w:val="0"/>
        <w:spacing w:after="0"/>
        <w:jc w:val="both"/>
        <w:rPr>
          <w:rFonts w:eastAsia="Times New Roman" w:cstheme="minorHAnsi"/>
          <w:szCs w:val="20"/>
        </w:rPr>
      </w:pPr>
    </w:p>
    <w:p w14:paraId="07C3596D" w14:textId="77777777" w:rsidR="00D74A8C" w:rsidRDefault="00D74A8C" w:rsidP="000C1E75">
      <w:pPr>
        <w:autoSpaceDE w:val="0"/>
        <w:autoSpaceDN w:val="0"/>
        <w:adjustRightInd w:val="0"/>
        <w:spacing w:after="0"/>
        <w:jc w:val="both"/>
        <w:rPr>
          <w:rFonts w:eastAsia="Times New Roman" w:cstheme="minorHAnsi"/>
          <w:szCs w:val="20"/>
        </w:rPr>
      </w:pPr>
    </w:p>
    <w:p w14:paraId="7EEA8F55" w14:textId="77777777" w:rsidR="00D74A8C" w:rsidRDefault="00D74A8C" w:rsidP="000C1E75">
      <w:pPr>
        <w:autoSpaceDE w:val="0"/>
        <w:autoSpaceDN w:val="0"/>
        <w:adjustRightInd w:val="0"/>
        <w:spacing w:after="0"/>
        <w:jc w:val="both"/>
        <w:rPr>
          <w:rFonts w:eastAsia="Times New Roman" w:cstheme="minorHAnsi"/>
          <w:szCs w:val="20"/>
        </w:rPr>
      </w:pPr>
    </w:p>
    <w:p w14:paraId="69C6581A" w14:textId="77777777" w:rsidR="00632235" w:rsidRDefault="00632235" w:rsidP="000C1E75">
      <w:pPr>
        <w:autoSpaceDE w:val="0"/>
        <w:autoSpaceDN w:val="0"/>
        <w:adjustRightInd w:val="0"/>
        <w:spacing w:after="0"/>
        <w:jc w:val="both"/>
        <w:rPr>
          <w:rFonts w:eastAsia="Times New Roman" w:cstheme="minorHAnsi"/>
          <w:szCs w:val="20"/>
        </w:rPr>
      </w:pPr>
    </w:p>
    <w:p w14:paraId="02714D50" w14:textId="77777777" w:rsidR="00DC324A" w:rsidRPr="00366645" w:rsidRDefault="00DC324A" w:rsidP="00DC324A">
      <w:pPr>
        <w:autoSpaceDE w:val="0"/>
        <w:autoSpaceDN w:val="0"/>
        <w:adjustRightInd w:val="0"/>
        <w:spacing w:before="240" w:after="0"/>
        <w:jc w:val="center"/>
        <w:rPr>
          <w:rFonts w:eastAsia="Times New Roman" w:cstheme="minorHAnsi"/>
          <w:b/>
          <w:szCs w:val="20"/>
        </w:rPr>
      </w:pPr>
      <w:r w:rsidRPr="00366645">
        <w:rPr>
          <w:rFonts w:eastAsia="Times New Roman" w:cstheme="minorHAnsi"/>
          <w:b/>
          <w:szCs w:val="20"/>
        </w:rPr>
        <w:lastRenderedPageBreak/>
        <w:t>TABLE 2: Project NAICS Codes</w:t>
      </w:r>
    </w:p>
    <w:p w14:paraId="4FAFA065" w14:textId="77777777" w:rsidR="00DC324A" w:rsidRPr="00366645" w:rsidRDefault="00DC324A" w:rsidP="00DC324A">
      <w:pPr>
        <w:autoSpaceDE w:val="0"/>
        <w:autoSpaceDN w:val="0"/>
        <w:adjustRightInd w:val="0"/>
        <w:spacing w:after="0"/>
        <w:jc w:val="center"/>
        <w:rPr>
          <w:rFonts w:eastAsia="Times New Roman" w:cstheme="minorHAnsi"/>
          <w:bCs/>
          <w:i/>
          <w:iCs/>
          <w:szCs w:val="20"/>
        </w:rPr>
      </w:pPr>
      <w:r w:rsidRPr="00366645">
        <w:rPr>
          <w:rFonts w:eastAsia="Times New Roman" w:cstheme="minorHAnsi"/>
          <w:bCs/>
          <w:i/>
          <w:iCs/>
          <w:szCs w:val="20"/>
        </w:rPr>
        <w:t>(amounts subject to rounding differences)</w:t>
      </w: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260"/>
        <w:gridCol w:w="900"/>
        <w:gridCol w:w="4608"/>
        <w:gridCol w:w="1440"/>
      </w:tblGrid>
      <w:tr w:rsidR="00DC324A" w:rsidRPr="004D22BF" w14:paraId="056B6A2A" w14:textId="77777777" w:rsidTr="00C91387">
        <w:trPr>
          <w:trHeight w:val="64"/>
          <w:tblHeader/>
        </w:trPr>
        <w:tc>
          <w:tcPr>
            <w:tcW w:w="1890" w:type="dxa"/>
            <w:shd w:val="clear" w:color="auto" w:fill="444444" w:themeFill="text1"/>
          </w:tcPr>
          <w:p w14:paraId="1FA93496" w14:textId="77777777" w:rsidR="00DC324A" w:rsidRPr="004D22BF" w:rsidRDefault="00DC324A" w:rsidP="001C440D">
            <w:pPr>
              <w:spacing w:after="0"/>
              <w:jc w:val="center"/>
              <w:rPr>
                <w:rFonts w:eastAsia="Times New Roman" w:cstheme="minorHAnsi"/>
                <w:color w:val="000000"/>
                <w:sz w:val="20"/>
                <w:szCs w:val="20"/>
              </w:rPr>
            </w:pPr>
            <w:bookmarkStart w:id="4" w:name="_Toc478465256"/>
            <w:bookmarkStart w:id="5" w:name="_Toc478542633"/>
            <w:bookmarkStart w:id="6" w:name="_Toc478543095"/>
            <w:r w:rsidRPr="004D22BF">
              <w:rPr>
                <w:rFonts w:ascii="Calibri" w:hAnsi="Calibri" w:cs="Calibri"/>
                <w:b/>
                <w:bCs/>
                <w:color w:val="FFFFFF"/>
                <w:sz w:val="20"/>
                <w:szCs w:val="20"/>
              </w:rPr>
              <w:t>PROJECT NAME</w:t>
            </w:r>
          </w:p>
        </w:tc>
        <w:tc>
          <w:tcPr>
            <w:tcW w:w="1260" w:type="dxa"/>
            <w:shd w:val="clear" w:color="auto" w:fill="444444" w:themeFill="text1"/>
            <w:noWrap/>
          </w:tcPr>
          <w:p w14:paraId="39532C91" w14:textId="783DB03E" w:rsidR="00DC324A" w:rsidRPr="004D22BF" w:rsidRDefault="00DC324A" w:rsidP="001C440D">
            <w:pPr>
              <w:spacing w:after="0"/>
              <w:jc w:val="center"/>
              <w:rPr>
                <w:rFonts w:eastAsia="Times New Roman" w:cstheme="minorHAnsi"/>
                <w:color w:val="000000"/>
                <w:sz w:val="20"/>
                <w:szCs w:val="20"/>
              </w:rPr>
            </w:pPr>
            <w:r w:rsidRPr="004D22BF">
              <w:rPr>
                <w:rFonts w:ascii="Calibri" w:hAnsi="Calibri" w:cs="Calibri"/>
                <w:b/>
                <w:bCs/>
                <w:color w:val="FFFFFF"/>
                <w:sz w:val="20"/>
                <w:szCs w:val="20"/>
              </w:rPr>
              <w:t>EST. F</w:t>
            </w:r>
            <w:r w:rsidR="00333A16">
              <w:rPr>
                <w:rFonts w:ascii="Calibri" w:hAnsi="Calibri" w:cs="Calibri"/>
                <w:b/>
                <w:bCs/>
                <w:color w:val="FFFFFF"/>
                <w:sz w:val="20"/>
                <w:szCs w:val="20"/>
              </w:rPr>
              <w:t>T</w:t>
            </w:r>
            <w:r w:rsidRPr="004D22BF">
              <w:rPr>
                <w:rFonts w:ascii="Calibri" w:hAnsi="Calibri" w:cs="Calibri"/>
                <w:b/>
                <w:bCs/>
                <w:color w:val="FFFFFF"/>
                <w:sz w:val="20"/>
                <w:szCs w:val="20"/>
              </w:rPr>
              <w:t>A $ SHARE</w:t>
            </w:r>
            <w:r w:rsidRPr="004D22BF">
              <w:rPr>
                <w:rStyle w:val="FootnoteReference"/>
                <w:rFonts w:ascii="Calibri" w:hAnsi="Calibri" w:cs="Calibri"/>
                <w:b/>
                <w:bCs/>
                <w:color w:val="FFFFFF"/>
                <w:sz w:val="20"/>
                <w:szCs w:val="20"/>
              </w:rPr>
              <w:footnoteReference w:id="5"/>
            </w:r>
          </w:p>
        </w:tc>
        <w:tc>
          <w:tcPr>
            <w:tcW w:w="900" w:type="dxa"/>
            <w:shd w:val="clear" w:color="auto" w:fill="444444" w:themeFill="text1"/>
            <w:noWrap/>
          </w:tcPr>
          <w:p w14:paraId="46E19ADB" w14:textId="77777777" w:rsidR="00DC324A" w:rsidRPr="004D22BF" w:rsidRDefault="00DC324A" w:rsidP="001C440D">
            <w:pPr>
              <w:spacing w:after="0"/>
              <w:jc w:val="center"/>
              <w:rPr>
                <w:rFonts w:eastAsia="Times New Roman" w:cstheme="minorHAnsi"/>
                <w:color w:val="000000"/>
                <w:sz w:val="20"/>
                <w:szCs w:val="20"/>
              </w:rPr>
            </w:pPr>
            <w:r w:rsidRPr="004D22BF">
              <w:rPr>
                <w:rFonts w:ascii="Calibri" w:hAnsi="Calibri" w:cs="Calibri"/>
                <w:b/>
                <w:bCs/>
                <w:color w:val="FFFFFF"/>
                <w:sz w:val="20"/>
                <w:szCs w:val="20"/>
              </w:rPr>
              <w:t>NAICS CODE</w:t>
            </w:r>
            <w:r w:rsidRPr="004D22BF">
              <w:rPr>
                <w:rStyle w:val="FootnoteReference"/>
                <w:rFonts w:ascii="Calibri" w:hAnsi="Calibri" w:cs="Calibri"/>
                <w:b/>
                <w:bCs/>
                <w:color w:val="FFFFFF"/>
                <w:sz w:val="20"/>
                <w:szCs w:val="20"/>
              </w:rPr>
              <w:footnoteReference w:id="6"/>
            </w:r>
          </w:p>
        </w:tc>
        <w:tc>
          <w:tcPr>
            <w:tcW w:w="4608" w:type="dxa"/>
            <w:shd w:val="clear" w:color="auto" w:fill="444444" w:themeFill="text1"/>
          </w:tcPr>
          <w:p w14:paraId="57FE97C7" w14:textId="77777777" w:rsidR="00DC324A" w:rsidRPr="004D22BF" w:rsidRDefault="00DC324A" w:rsidP="001C440D">
            <w:pPr>
              <w:spacing w:after="0"/>
              <w:jc w:val="center"/>
              <w:rPr>
                <w:rFonts w:eastAsia="Times New Roman" w:cstheme="minorHAnsi"/>
                <w:color w:val="000000"/>
                <w:sz w:val="20"/>
                <w:szCs w:val="20"/>
              </w:rPr>
            </w:pPr>
            <w:r w:rsidRPr="004D22BF">
              <w:rPr>
                <w:rFonts w:ascii="Calibri" w:hAnsi="Calibri" w:cs="Calibri"/>
                <w:b/>
                <w:bCs/>
                <w:color w:val="FFFFFF"/>
                <w:sz w:val="20"/>
                <w:szCs w:val="20"/>
              </w:rPr>
              <w:t>NAICS TITLE</w:t>
            </w:r>
            <w:r w:rsidRPr="004D22BF">
              <w:rPr>
                <w:rStyle w:val="FootnoteReference"/>
                <w:rFonts w:ascii="Calibri" w:hAnsi="Calibri" w:cs="Calibri"/>
                <w:b/>
                <w:bCs/>
                <w:color w:val="FFFFFF"/>
                <w:sz w:val="20"/>
                <w:szCs w:val="20"/>
              </w:rPr>
              <w:footnoteReference w:id="7"/>
            </w:r>
          </w:p>
        </w:tc>
        <w:tc>
          <w:tcPr>
            <w:tcW w:w="1440" w:type="dxa"/>
            <w:shd w:val="clear" w:color="auto" w:fill="444444" w:themeFill="text1"/>
            <w:noWrap/>
          </w:tcPr>
          <w:p w14:paraId="5D118D6D" w14:textId="6873E94B" w:rsidR="00DC324A" w:rsidRPr="004D22BF" w:rsidRDefault="00DC324A" w:rsidP="001C440D">
            <w:pPr>
              <w:spacing w:after="0"/>
              <w:jc w:val="center"/>
              <w:rPr>
                <w:rFonts w:eastAsia="Times New Roman" w:cstheme="minorHAnsi"/>
                <w:color w:val="000000"/>
                <w:sz w:val="20"/>
                <w:szCs w:val="20"/>
              </w:rPr>
            </w:pPr>
            <w:r w:rsidRPr="004D22BF">
              <w:rPr>
                <w:rFonts w:ascii="Calibri" w:hAnsi="Calibri" w:cs="Calibri"/>
                <w:b/>
                <w:bCs/>
                <w:color w:val="FFFFFF"/>
                <w:sz w:val="20"/>
                <w:szCs w:val="20"/>
              </w:rPr>
              <w:t>EST. F</w:t>
            </w:r>
            <w:r w:rsidR="00333A16">
              <w:rPr>
                <w:rFonts w:ascii="Calibri" w:hAnsi="Calibri" w:cs="Calibri"/>
                <w:b/>
                <w:bCs/>
                <w:color w:val="FFFFFF"/>
                <w:sz w:val="20"/>
                <w:szCs w:val="20"/>
              </w:rPr>
              <w:t>T</w:t>
            </w:r>
            <w:r w:rsidRPr="004D22BF">
              <w:rPr>
                <w:rFonts w:ascii="Calibri" w:hAnsi="Calibri" w:cs="Calibri"/>
                <w:b/>
                <w:bCs/>
                <w:color w:val="FFFFFF"/>
                <w:sz w:val="20"/>
                <w:szCs w:val="20"/>
              </w:rPr>
              <w:t>A $ SHARE NAICS</w:t>
            </w:r>
            <w:r w:rsidRPr="004D22BF">
              <w:rPr>
                <w:rStyle w:val="FootnoteReference"/>
                <w:rFonts w:ascii="Calibri" w:hAnsi="Calibri" w:cs="Calibri"/>
                <w:b/>
                <w:bCs/>
                <w:color w:val="FFFFFF"/>
                <w:sz w:val="20"/>
                <w:szCs w:val="20"/>
              </w:rPr>
              <w:footnoteReference w:id="8"/>
            </w:r>
          </w:p>
        </w:tc>
      </w:tr>
      <w:tr w:rsidR="00C73C6D" w:rsidRPr="004D22BF" w14:paraId="3335DDBB" w14:textId="77777777" w:rsidTr="00C91387">
        <w:trPr>
          <w:trHeight w:val="70"/>
        </w:trPr>
        <w:tc>
          <w:tcPr>
            <w:tcW w:w="1890" w:type="dxa"/>
            <w:vMerge w:val="restart"/>
            <w:shd w:val="clear" w:color="auto" w:fill="auto"/>
            <w:noWrap/>
          </w:tcPr>
          <w:p w14:paraId="1CE261B1" w14:textId="77777777" w:rsidR="00C73C6D" w:rsidRPr="00C73C6D" w:rsidRDefault="00C73C6D" w:rsidP="00D74A8C">
            <w:pPr>
              <w:spacing w:before="40" w:after="0"/>
              <w:rPr>
                <w:rFonts w:eastAsia="Times New Roman" w:cstheme="minorHAnsi"/>
                <w:color w:val="000000"/>
                <w:sz w:val="20"/>
                <w:szCs w:val="20"/>
              </w:rPr>
            </w:pPr>
            <w:r w:rsidRPr="00C73C6D">
              <w:rPr>
                <w:rFonts w:cstheme="minorHAnsi"/>
                <w:color w:val="000000"/>
                <w:sz w:val="20"/>
                <w:szCs w:val="20"/>
              </w:rPr>
              <w:t>Phase 2 Electric Bus Infrastructure and Chargers</w:t>
            </w:r>
          </w:p>
          <w:p w14:paraId="33CA8743" w14:textId="77777777" w:rsidR="00C73C6D" w:rsidRPr="00C73C6D" w:rsidRDefault="00C73C6D" w:rsidP="00D74A8C">
            <w:pPr>
              <w:spacing w:before="40" w:after="0"/>
              <w:rPr>
                <w:rFonts w:eastAsia="Times New Roman" w:cstheme="minorHAnsi"/>
                <w:color w:val="000000"/>
                <w:sz w:val="20"/>
                <w:szCs w:val="20"/>
              </w:rPr>
            </w:pPr>
            <w:r w:rsidRPr="00C73C6D">
              <w:rPr>
                <w:rFonts w:cstheme="minorHAnsi"/>
                <w:color w:val="000000"/>
                <w:sz w:val="20"/>
                <w:szCs w:val="20"/>
              </w:rPr>
              <w:t> </w:t>
            </w:r>
          </w:p>
          <w:p w14:paraId="7BB3E583" w14:textId="77777777" w:rsidR="00C73C6D" w:rsidRPr="00C73C6D" w:rsidRDefault="00C73C6D" w:rsidP="00D74A8C">
            <w:pPr>
              <w:spacing w:before="40" w:after="0"/>
              <w:rPr>
                <w:rFonts w:eastAsia="Times New Roman" w:cstheme="minorHAnsi"/>
                <w:color w:val="000000"/>
                <w:sz w:val="20"/>
                <w:szCs w:val="20"/>
              </w:rPr>
            </w:pPr>
            <w:r w:rsidRPr="00C73C6D">
              <w:rPr>
                <w:rFonts w:cstheme="minorHAnsi"/>
                <w:color w:val="000000"/>
                <w:sz w:val="20"/>
                <w:szCs w:val="20"/>
              </w:rPr>
              <w:t> </w:t>
            </w:r>
          </w:p>
          <w:p w14:paraId="3F78BA11" w14:textId="77777777" w:rsidR="00C73C6D" w:rsidRPr="00C73C6D" w:rsidRDefault="00C73C6D" w:rsidP="00D74A8C">
            <w:pPr>
              <w:spacing w:before="40" w:after="0"/>
              <w:rPr>
                <w:rFonts w:eastAsia="Times New Roman" w:cstheme="minorHAnsi"/>
                <w:color w:val="000000"/>
                <w:sz w:val="20"/>
                <w:szCs w:val="20"/>
              </w:rPr>
            </w:pPr>
            <w:r w:rsidRPr="00C73C6D">
              <w:rPr>
                <w:rFonts w:cstheme="minorHAnsi"/>
                <w:color w:val="000000"/>
                <w:sz w:val="20"/>
                <w:szCs w:val="20"/>
              </w:rPr>
              <w:t> </w:t>
            </w:r>
          </w:p>
          <w:p w14:paraId="1586F22C" w14:textId="77777777" w:rsidR="00C73C6D" w:rsidRPr="00C73C6D" w:rsidRDefault="00C73C6D" w:rsidP="00D74A8C">
            <w:pPr>
              <w:spacing w:before="40" w:after="0"/>
              <w:rPr>
                <w:rFonts w:eastAsia="Times New Roman" w:cstheme="minorHAnsi"/>
                <w:color w:val="000000"/>
                <w:sz w:val="20"/>
                <w:szCs w:val="20"/>
              </w:rPr>
            </w:pPr>
            <w:r w:rsidRPr="00C73C6D">
              <w:rPr>
                <w:rFonts w:cstheme="minorHAnsi"/>
                <w:color w:val="000000"/>
                <w:sz w:val="20"/>
                <w:szCs w:val="20"/>
              </w:rPr>
              <w:t> </w:t>
            </w:r>
          </w:p>
          <w:p w14:paraId="2E8FC6AD" w14:textId="75054D36" w:rsidR="00C73C6D" w:rsidRPr="00C73C6D" w:rsidRDefault="00C73C6D" w:rsidP="00D74A8C">
            <w:pPr>
              <w:spacing w:before="40" w:after="0"/>
              <w:rPr>
                <w:rFonts w:eastAsia="Times New Roman" w:cstheme="minorHAnsi"/>
                <w:color w:val="000000"/>
                <w:sz w:val="20"/>
                <w:szCs w:val="20"/>
              </w:rPr>
            </w:pPr>
            <w:r w:rsidRPr="00C73C6D">
              <w:rPr>
                <w:rFonts w:cstheme="minorHAnsi"/>
                <w:color w:val="000000"/>
                <w:sz w:val="20"/>
                <w:szCs w:val="20"/>
              </w:rPr>
              <w:t> </w:t>
            </w:r>
          </w:p>
        </w:tc>
        <w:tc>
          <w:tcPr>
            <w:tcW w:w="1260" w:type="dxa"/>
            <w:vMerge w:val="restart"/>
          </w:tcPr>
          <w:p w14:paraId="6893551F" w14:textId="77777777" w:rsidR="00C73C6D" w:rsidRPr="00C73C6D" w:rsidRDefault="00C73C6D" w:rsidP="00D74A8C">
            <w:pPr>
              <w:spacing w:before="40" w:after="0"/>
              <w:jc w:val="right"/>
              <w:rPr>
                <w:rFonts w:eastAsia="Times New Roman" w:cstheme="minorHAnsi"/>
                <w:color w:val="000000"/>
                <w:sz w:val="20"/>
                <w:szCs w:val="20"/>
              </w:rPr>
            </w:pPr>
            <w:r w:rsidRPr="00C73C6D">
              <w:rPr>
                <w:rFonts w:cstheme="minorHAnsi"/>
                <w:color w:val="000000"/>
                <w:sz w:val="20"/>
                <w:szCs w:val="20"/>
              </w:rPr>
              <w:t>$6,800,000</w:t>
            </w:r>
          </w:p>
          <w:p w14:paraId="77357B72" w14:textId="77777777" w:rsidR="00C73C6D" w:rsidRPr="00C73C6D" w:rsidRDefault="00C73C6D" w:rsidP="00D74A8C">
            <w:pPr>
              <w:spacing w:before="40" w:after="0"/>
              <w:jc w:val="right"/>
              <w:rPr>
                <w:rFonts w:eastAsia="Times New Roman" w:cstheme="minorHAnsi"/>
                <w:color w:val="000000"/>
                <w:sz w:val="20"/>
                <w:szCs w:val="20"/>
              </w:rPr>
            </w:pPr>
            <w:r w:rsidRPr="00C73C6D">
              <w:rPr>
                <w:rFonts w:cstheme="minorHAnsi"/>
                <w:color w:val="000000"/>
                <w:sz w:val="20"/>
                <w:szCs w:val="20"/>
              </w:rPr>
              <w:t> </w:t>
            </w:r>
          </w:p>
          <w:p w14:paraId="59CDC7E9" w14:textId="77777777" w:rsidR="00C73C6D" w:rsidRPr="00C73C6D" w:rsidRDefault="00C73C6D" w:rsidP="00D74A8C">
            <w:pPr>
              <w:spacing w:before="40" w:after="0"/>
              <w:jc w:val="right"/>
              <w:rPr>
                <w:rFonts w:eastAsia="Times New Roman" w:cstheme="minorHAnsi"/>
                <w:color w:val="000000"/>
                <w:sz w:val="20"/>
                <w:szCs w:val="20"/>
              </w:rPr>
            </w:pPr>
            <w:r w:rsidRPr="00C73C6D">
              <w:rPr>
                <w:rFonts w:cstheme="minorHAnsi"/>
                <w:color w:val="000000"/>
                <w:sz w:val="20"/>
                <w:szCs w:val="20"/>
              </w:rPr>
              <w:t> </w:t>
            </w:r>
          </w:p>
          <w:p w14:paraId="467B2D74" w14:textId="77777777" w:rsidR="00C73C6D" w:rsidRPr="00C73C6D" w:rsidRDefault="00C73C6D" w:rsidP="00D74A8C">
            <w:pPr>
              <w:spacing w:before="40" w:after="0"/>
              <w:jc w:val="right"/>
              <w:rPr>
                <w:rFonts w:eastAsia="Times New Roman" w:cstheme="minorHAnsi"/>
                <w:color w:val="000000"/>
                <w:sz w:val="20"/>
                <w:szCs w:val="20"/>
              </w:rPr>
            </w:pPr>
            <w:r w:rsidRPr="00C73C6D">
              <w:rPr>
                <w:rFonts w:cstheme="minorHAnsi"/>
                <w:color w:val="000000"/>
                <w:sz w:val="20"/>
                <w:szCs w:val="20"/>
              </w:rPr>
              <w:t> </w:t>
            </w:r>
          </w:p>
          <w:p w14:paraId="7E8BA5FC" w14:textId="77777777" w:rsidR="00C73C6D" w:rsidRPr="00C73C6D" w:rsidRDefault="00C73C6D" w:rsidP="00D74A8C">
            <w:pPr>
              <w:spacing w:before="40" w:after="0"/>
              <w:jc w:val="right"/>
              <w:rPr>
                <w:rFonts w:eastAsia="Times New Roman" w:cstheme="minorHAnsi"/>
                <w:color w:val="000000"/>
                <w:sz w:val="20"/>
                <w:szCs w:val="20"/>
              </w:rPr>
            </w:pPr>
            <w:r w:rsidRPr="00C73C6D">
              <w:rPr>
                <w:rFonts w:cstheme="minorHAnsi"/>
                <w:color w:val="000000"/>
                <w:sz w:val="20"/>
                <w:szCs w:val="20"/>
              </w:rPr>
              <w:t> </w:t>
            </w:r>
          </w:p>
          <w:p w14:paraId="5CC595E4" w14:textId="4E6BB57F" w:rsidR="00C73C6D" w:rsidRPr="00C73C6D" w:rsidRDefault="00C73C6D" w:rsidP="00D74A8C">
            <w:pPr>
              <w:spacing w:before="40" w:after="0"/>
              <w:jc w:val="right"/>
              <w:rPr>
                <w:rFonts w:eastAsia="Times New Roman" w:cstheme="minorHAnsi"/>
                <w:color w:val="000000"/>
                <w:sz w:val="20"/>
                <w:szCs w:val="20"/>
              </w:rPr>
            </w:pPr>
            <w:r w:rsidRPr="00C73C6D">
              <w:rPr>
                <w:rFonts w:cstheme="minorHAnsi"/>
                <w:color w:val="000000"/>
                <w:sz w:val="20"/>
                <w:szCs w:val="20"/>
              </w:rPr>
              <w:t> </w:t>
            </w:r>
          </w:p>
        </w:tc>
        <w:tc>
          <w:tcPr>
            <w:tcW w:w="900" w:type="dxa"/>
            <w:shd w:val="clear" w:color="auto" w:fill="auto"/>
            <w:noWrap/>
          </w:tcPr>
          <w:p w14:paraId="23142AC4" w14:textId="0D6EAF20" w:rsidR="00C73C6D" w:rsidRPr="00C73C6D" w:rsidRDefault="00C73C6D" w:rsidP="00D74A8C">
            <w:pPr>
              <w:spacing w:before="40" w:after="0"/>
              <w:jc w:val="center"/>
              <w:rPr>
                <w:rFonts w:eastAsia="Times New Roman" w:cstheme="minorHAnsi"/>
                <w:color w:val="000000"/>
                <w:sz w:val="20"/>
                <w:szCs w:val="20"/>
              </w:rPr>
            </w:pPr>
            <w:r w:rsidRPr="00C73C6D">
              <w:rPr>
                <w:rFonts w:cstheme="minorHAnsi"/>
                <w:color w:val="000000"/>
                <w:sz w:val="20"/>
                <w:szCs w:val="20"/>
              </w:rPr>
              <w:t>541330</w:t>
            </w:r>
          </w:p>
        </w:tc>
        <w:tc>
          <w:tcPr>
            <w:tcW w:w="4608" w:type="dxa"/>
            <w:shd w:val="clear" w:color="auto" w:fill="auto"/>
            <w:noWrap/>
          </w:tcPr>
          <w:p w14:paraId="57B959FF" w14:textId="6A412967" w:rsidR="00C73C6D" w:rsidRPr="00C73C6D" w:rsidRDefault="00C73C6D" w:rsidP="00D74A8C">
            <w:pPr>
              <w:spacing w:before="40" w:after="0"/>
              <w:rPr>
                <w:rFonts w:eastAsia="Times New Roman" w:cstheme="minorHAnsi"/>
                <w:color w:val="000000"/>
                <w:sz w:val="20"/>
                <w:szCs w:val="20"/>
              </w:rPr>
            </w:pPr>
            <w:r w:rsidRPr="00C73C6D">
              <w:rPr>
                <w:rFonts w:cstheme="minorHAnsi"/>
                <w:color w:val="000000"/>
                <w:sz w:val="20"/>
                <w:szCs w:val="20"/>
              </w:rPr>
              <w:t>Engineering services</w:t>
            </w:r>
          </w:p>
        </w:tc>
        <w:tc>
          <w:tcPr>
            <w:tcW w:w="1440" w:type="dxa"/>
            <w:shd w:val="clear" w:color="auto" w:fill="auto"/>
            <w:noWrap/>
          </w:tcPr>
          <w:p w14:paraId="7CBE7FB2" w14:textId="5DAAA24B" w:rsidR="00C73C6D" w:rsidRPr="00C73C6D" w:rsidRDefault="00C73C6D" w:rsidP="00D74A8C">
            <w:pPr>
              <w:spacing w:before="40" w:after="0"/>
              <w:jc w:val="right"/>
              <w:rPr>
                <w:rFonts w:eastAsia="Times New Roman" w:cstheme="minorHAnsi"/>
                <w:color w:val="000000"/>
                <w:sz w:val="20"/>
                <w:szCs w:val="20"/>
              </w:rPr>
            </w:pPr>
            <w:r w:rsidRPr="00C73C6D">
              <w:rPr>
                <w:rFonts w:cstheme="minorHAnsi"/>
                <w:color w:val="000000"/>
                <w:sz w:val="20"/>
                <w:szCs w:val="20"/>
              </w:rPr>
              <w:t>$1,016,564</w:t>
            </w:r>
          </w:p>
        </w:tc>
      </w:tr>
      <w:tr w:rsidR="00C73C6D" w:rsidRPr="004D22BF" w14:paraId="6F7CE360" w14:textId="77777777" w:rsidTr="00C91387">
        <w:trPr>
          <w:trHeight w:val="70"/>
        </w:trPr>
        <w:tc>
          <w:tcPr>
            <w:tcW w:w="1890" w:type="dxa"/>
            <w:vMerge/>
            <w:shd w:val="clear" w:color="auto" w:fill="auto"/>
            <w:noWrap/>
          </w:tcPr>
          <w:p w14:paraId="2938A46A" w14:textId="7428CF81" w:rsidR="00C73C6D" w:rsidRPr="00C73C6D" w:rsidRDefault="00C73C6D" w:rsidP="00D74A8C">
            <w:pPr>
              <w:spacing w:before="40" w:after="0"/>
              <w:rPr>
                <w:rFonts w:eastAsia="Times New Roman" w:cstheme="minorHAnsi"/>
                <w:color w:val="000000"/>
                <w:sz w:val="20"/>
                <w:szCs w:val="20"/>
              </w:rPr>
            </w:pPr>
          </w:p>
        </w:tc>
        <w:tc>
          <w:tcPr>
            <w:tcW w:w="1260" w:type="dxa"/>
            <w:vMerge/>
          </w:tcPr>
          <w:p w14:paraId="7D084D59" w14:textId="79E8CE2A" w:rsidR="00C73C6D" w:rsidRPr="00C73C6D" w:rsidRDefault="00C73C6D" w:rsidP="00D74A8C">
            <w:pPr>
              <w:spacing w:before="40" w:after="0"/>
              <w:jc w:val="right"/>
              <w:rPr>
                <w:rFonts w:eastAsia="Times New Roman" w:cstheme="minorHAnsi"/>
                <w:color w:val="000000"/>
                <w:sz w:val="20"/>
                <w:szCs w:val="20"/>
              </w:rPr>
            </w:pPr>
          </w:p>
        </w:tc>
        <w:tc>
          <w:tcPr>
            <w:tcW w:w="900" w:type="dxa"/>
            <w:shd w:val="clear" w:color="auto" w:fill="auto"/>
            <w:noWrap/>
          </w:tcPr>
          <w:p w14:paraId="428C3D2D" w14:textId="64BA552B" w:rsidR="00C73C6D" w:rsidRPr="00C73C6D" w:rsidRDefault="00C73C6D" w:rsidP="00D74A8C">
            <w:pPr>
              <w:spacing w:before="40" w:after="0"/>
              <w:jc w:val="center"/>
              <w:rPr>
                <w:rFonts w:eastAsia="Times New Roman" w:cstheme="minorHAnsi"/>
                <w:color w:val="000000"/>
                <w:sz w:val="20"/>
                <w:szCs w:val="20"/>
              </w:rPr>
            </w:pPr>
            <w:r w:rsidRPr="00C73C6D">
              <w:rPr>
                <w:rFonts w:cstheme="minorHAnsi"/>
                <w:color w:val="000000"/>
                <w:sz w:val="20"/>
                <w:szCs w:val="20"/>
              </w:rPr>
              <w:t>238910</w:t>
            </w:r>
          </w:p>
        </w:tc>
        <w:tc>
          <w:tcPr>
            <w:tcW w:w="4608" w:type="dxa"/>
            <w:shd w:val="clear" w:color="auto" w:fill="auto"/>
            <w:noWrap/>
          </w:tcPr>
          <w:p w14:paraId="1913CC47" w14:textId="5B622FAE" w:rsidR="00C73C6D" w:rsidRPr="00C73C6D" w:rsidRDefault="00C73C6D" w:rsidP="00D74A8C">
            <w:pPr>
              <w:spacing w:before="40" w:after="0"/>
              <w:rPr>
                <w:rFonts w:eastAsia="Times New Roman" w:cstheme="minorHAnsi"/>
                <w:color w:val="000000"/>
                <w:sz w:val="20"/>
                <w:szCs w:val="20"/>
              </w:rPr>
            </w:pPr>
            <w:r w:rsidRPr="00C73C6D">
              <w:rPr>
                <w:rFonts w:cstheme="minorHAnsi"/>
                <w:color w:val="000000"/>
                <w:sz w:val="20"/>
                <w:szCs w:val="20"/>
              </w:rPr>
              <w:t>Site preparation contractors</w:t>
            </w:r>
          </w:p>
        </w:tc>
        <w:tc>
          <w:tcPr>
            <w:tcW w:w="1440" w:type="dxa"/>
            <w:shd w:val="clear" w:color="auto" w:fill="auto"/>
            <w:noWrap/>
          </w:tcPr>
          <w:p w14:paraId="27908CF9" w14:textId="7621046A" w:rsidR="00C73C6D" w:rsidRPr="00C73C6D" w:rsidRDefault="00C73C6D" w:rsidP="00D74A8C">
            <w:pPr>
              <w:spacing w:before="40" w:after="0"/>
              <w:jc w:val="right"/>
              <w:rPr>
                <w:rFonts w:eastAsia="Times New Roman" w:cstheme="minorHAnsi"/>
                <w:color w:val="000000"/>
                <w:sz w:val="20"/>
                <w:szCs w:val="20"/>
              </w:rPr>
            </w:pPr>
            <w:r w:rsidRPr="00C73C6D">
              <w:rPr>
                <w:rFonts w:cstheme="minorHAnsi"/>
                <w:color w:val="000000"/>
                <w:sz w:val="20"/>
                <w:szCs w:val="20"/>
              </w:rPr>
              <w:t>$203,313</w:t>
            </w:r>
          </w:p>
        </w:tc>
      </w:tr>
      <w:tr w:rsidR="00C73C6D" w:rsidRPr="004D22BF" w14:paraId="48AD5825" w14:textId="77777777" w:rsidTr="00C91387">
        <w:trPr>
          <w:trHeight w:val="377"/>
        </w:trPr>
        <w:tc>
          <w:tcPr>
            <w:tcW w:w="1890" w:type="dxa"/>
            <w:vMerge/>
            <w:shd w:val="clear" w:color="auto" w:fill="auto"/>
            <w:noWrap/>
          </w:tcPr>
          <w:p w14:paraId="30BDCBCC" w14:textId="02254C1F" w:rsidR="00C73C6D" w:rsidRPr="00C73C6D" w:rsidRDefault="00C73C6D" w:rsidP="00D74A8C">
            <w:pPr>
              <w:spacing w:before="40" w:after="0"/>
              <w:rPr>
                <w:rFonts w:eastAsia="Times New Roman" w:cstheme="minorHAnsi"/>
                <w:color w:val="000000"/>
                <w:sz w:val="20"/>
                <w:szCs w:val="20"/>
              </w:rPr>
            </w:pPr>
          </w:p>
        </w:tc>
        <w:tc>
          <w:tcPr>
            <w:tcW w:w="1260" w:type="dxa"/>
            <w:vMerge/>
          </w:tcPr>
          <w:p w14:paraId="7C4017B0" w14:textId="5B4DC579" w:rsidR="00C73C6D" w:rsidRPr="00C73C6D" w:rsidRDefault="00C73C6D" w:rsidP="00D74A8C">
            <w:pPr>
              <w:spacing w:before="40" w:after="0"/>
              <w:jc w:val="right"/>
              <w:rPr>
                <w:rFonts w:eastAsia="Times New Roman" w:cstheme="minorHAnsi"/>
                <w:color w:val="000000"/>
                <w:sz w:val="20"/>
                <w:szCs w:val="20"/>
              </w:rPr>
            </w:pPr>
          </w:p>
        </w:tc>
        <w:tc>
          <w:tcPr>
            <w:tcW w:w="900" w:type="dxa"/>
            <w:shd w:val="clear" w:color="auto" w:fill="auto"/>
            <w:noWrap/>
          </w:tcPr>
          <w:p w14:paraId="41D9BF30" w14:textId="0CE7C2A1" w:rsidR="00C73C6D" w:rsidRPr="00C73C6D" w:rsidRDefault="00C73C6D" w:rsidP="00D74A8C">
            <w:pPr>
              <w:spacing w:before="40" w:after="0"/>
              <w:jc w:val="center"/>
              <w:rPr>
                <w:rFonts w:eastAsia="Times New Roman" w:cstheme="minorHAnsi"/>
                <w:color w:val="000000"/>
                <w:sz w:val="20"/>
                <w:szCs w:val="20"/>
              </w:rPr>
            </w:pPr>
            <w:r w:rsidRPr="00C73C6D">
              <w:rPr>
                <w:rFonts w:cstheme="minorHAnsi"/>
                <w:color w:val="000000"/>
                <w:sz w:val="20"/>
                <w:szCs w:val="20"/>
              </w:rPr>
              <w:t>238210</w:t>
            </w:r>
          </w:p>
        </w:tc>
        <w:tc>
          <w:tcPr>
            <w:tcW w:w="4608" w:type="dxa"/>
            <w:shd w:val="clear" w:color="auto" w:fill="auto"/>
            <w:noWrap/>
          </w:tcPr>
          <w:p w14:paraId="59885ED7" w14:textId="322241E7" w:rsidR="00C73C6D" w:rsidRPr="00C73C6D" w:rsidRDefault="00C73C6D" w:rsidP="00D74A8C">
            <w:pPr>
              <w:spacing w:before="40" w:after="0"/>
              <w:rPr>
                <w:rFonts w:eastAsia="Times New Roman" w:cstheme="minorHAnsi"/>
                <w:color w:val="000000"/>
                <w:sz w:val="20"/>
                <w:szCs w:val="20"/>
              </w:rPr>
            </w:pPr>
            <w:r w:rsidRPr="00C73C6D">
              <w:rPr>
                <w:rFonts w:cstheme="minorHAnsi"/>
                <w:color w:val="000000"/>
                <w:sz w:val="20"/>
                <w:szCs w:val="20"/>
              </w:rPr>
              <w:t>Electrical contractors and other wiring installation contractors</w:t>
            </w:r>
          </w:p>
        </w:tc>
        <w:tc>
          <w:tcPr>
            <w:tcW w:w="1440" w:type="dxa"/>
            <w:shd w:val="clear" w:color="auto" w:fill="auto"/>
            <w:noWrap/>
          </w:tcPr>
          <w:p w14:paraId="5FAB461B" w14:textId="6BB3494C" w:rsidR="00C73C6D" w:rsidRPr="00C73C6D" w:rsidRDefault="00C73C6D" w:rsidP="00D74A8C">
            <w:pPr>
              <w:spacing w:before="40" w:after="0"/>
              <w:jc w:val="right"/>
              <w:rPr>
                <w:rFonts w:eastAsia="Times New Roman" w:cstheme="minorHAnsi"/>
                <w:color w:val="000000"/>
                <w:sz w:val="20"/>
                <w:szCs w:val="20"/>
              </w:rPr>
            </w:pPr>
            <w:r w:rsidRPr="00C73C6D">
              <w:rPr>
                <w:rFonts w:cstheme="minorHAnsi"/>
                <w:color w:val="000000"/>
                <w:sz w:val="20"/>
                <w:szCs w:val="20"/>
              </w:rPr>
              <w:t>$2,220,379</w:t>
            </w:r>
          </w:p>
        </w:tc>
      </w:tr>
      <w:tr w:rsidR="00C73C6D" w:rsidRPr="004D22BF" w14:paraId="68EBB8D8" w14:textId="77777777" w:rsidTr="00C91387">
        <w:trPr>
          <w:trHeight w:val="70"/>
        </w:trPr>
        <w:tc>
          <w:tcPr>
            <w:tcW w:w="1890" w:type="dxa"/>
            <w:vMerge/>
            <w:shd w:val="clear" w:color="auto" w:fill="auto"/>
            <w:noWrap/>
          </w:tcPr>
          <w:p w14:paraId="1D6B2964" w14:textId="0F315BFA" w:rsidR="00C73C6D" w:rsidRPr="00C73C6D" w:rsidRDefault="00C73C6D" w:rsidP="00D74A8C">
            <w:pPr>
              <w:spacing w:before="40" w:after="0"/>
              <w:rPr>
                <w:rFonts w:eastAsia="Times New Roman" w:cstheme="minorHAnsi"/>
                <w:color w:val="000000"/>
                <w:sz w:val="20"/>
                <w:szCs w:val="20"/>
              </w:rPr>
            </w:pPr>
          </w:p>
        </w:tc>
        <w:tc>
          <w:tcPr>
            <w:tcW w:w="1260" w:type="dxa"/>
            <w:vMerge/>
          </w:tcPr>
          <w:p w14:paraId="331F9089" w14:textId="40F01652" w:rsidR="00C73C6D" w:rsidRPr="00C73C6D" w:rsidRDefault="00C73C6D" w:rsidP="00D74A8C">
            <w:pPr>
              <w:spacing w:before="40" w:after="0"/>
              <w:jc w:val="right"/>
              <w:rPr>
                <w:rFonts w:eastAsia="Times New Roman" w:cstheme="minorHAnsi"/>
                <w:color w:val="000000"/>
                <w:sz w:val="20"/>
                <w:szCs w:val="20"/>
              </w:rPr>
            </w:pPr>
          </w:p>
        </w:tc>
        <w:tc>
          <w:tcPr>
            <w:tcW w:w="900" w:type="dxa"/>
            <w:shd w:val="clear" w:color="auto" w:fill="auto"/>
            <w:noWrap/>
          </w:tcPr>
          <w:p w14:paraId="5CF89BE1" w14:textId="615848C7" w:rsidR="00C73C6D" w:rsidRPr="00C73C6D" w:rsidRDefault="00C73C6D" w:rsidP="00D74A8C">
            <w:pPr>
              <w:spacing w:before="40" w:after="0"/>
              <w:jc w:val="center"/>
              <w:rPr>
                <w:rFonts w:eastAsia="Times New Roman" w:cstheme="minorHAnsi"/>
                <w:color w:val="000000"/>
                <w:sz w:val="20"/>
                <w:szCs w:val="20"/>
              </w:rPr>
            </w:pPr>
            <w:r w:rsidRPr="00C73C6D">
              <w:rPr>
                <w:rFonts w:cstheme="minorHAnsi"/>
                <w:color w:val="000000"/>
                <w:sz w:val="20"/>
                <w:szCs w:val="20"/>
              </w:rPr>
              <w:t>561730</w:t>
            </w:r>
          </w:p>
        </w:tc>
        <w:tc>
          <w:tcPr>
            <w:tcW w:w="4608" w:type="dxa"/>
            <w:shd w:val="clear" w:color="auto" w:fill="auto"/>
            <w:noWrap/>
          </w:tcPr>
          <w:p w14:paraId="4880E4D9" w14:textId="12ECE3F2" w:rsidR="00C73C6D" w:rsidRPr="00C73C6D" w:rsidRDefault="00C73C6D" w:rsidP="00D74A8C">
            <w:pPr>
              <w:spacing w:before="40" w:after="0"/>
              <w:rPr>
                <w:rFonts w:eastAsia="Times New Roman" w:cstheme="minorHAnsi"/>
                <w:color w:val="000000"/>
                <w:sz w:val="20"/>
                <w:szCs w:val="20"/>
              </w:rPr>
            </w:pPr>
            <w:r w:rsidRPr="00C73C6D">
              <w:rPr>
                <w:rFonts w:cstheme="minorHAnsi"/>
                <w:color w:val="000000"/>
                <w:sz w:val="20"/>
                <w:szCs w:val="20"/>
              </w:rPr>
              <w:t>Landscaping services</w:t>
            </w:r>
          </w:p>
        </w:tc>
        <w:tc>
          <w:tcPr>
            <w:tcW w:w="1440" w:type="dxa"/>
            <w:shd w:val="clear" w:color="auto" w:fill="auto"/>
            <w:noWrap/>
          </w:tcPr>
          <w:p w14:paraId="13D83812" w14:textId="580FCCF0" w:rsidR="00C73C6D" w:rsidRPr="00C73C6D" w:rsidRDefault="00C73C6D" w:rsidP="00D74A8C">
            <w:pPr>
              <w:spacing w:before="40" w:after="0"/>
              <w:jc w:val="right"/>
              <w:rPr>
                <w:rFonts w:eastAsia="Times New Roman" w:cstheme="minorHAnsi"/>
                <w:color w:val="000000"/>
                <w:sz w:val="20"/>
                <w:szCs w:val="20"/>
              </w:rPr>
            </w:pPr>
            <w:r w:rsidRPr="00C73C6D">
              <w:rPr>
                <w:rFonts w:cstheme="minorHAnsi"/>
                <w:color w:val="000000"/>
                <w:sz w:val="20"/>
                <w:szCs w:val="20"/>
              </w:rPr>
              <w:t>$5,083</w:t>
            </w:r>
          </w:p>
        </w:tc>
      </w:tr>
      <w:tr w:rsidR="00C73C6D" w:rsidRPr="004D22BF" w14:paraId="2CA8BE99" w14:textId="77777777" w:rsidTr="00C91387">
        <w:trPr>
          <w:trHeight w:val="377"/>
        </w:trPr>
        <w:tc>
          <w:tcPr>
            <w:tcW w:w="1890" w:type="dxa"/>
            <w:vMerge/>
            <w:shd w:val="clear" w:color="auto" w:fill="auto"/>
            <w:noWrap/>
          </w:tcPr>
          <w:p w14:paraId="3B0EEC39" w14:textId="021CF547" w:rsidR="00C73C6D" w:rsidRPr="00C73C6D" w:rsidRDefault="00C73C6D" w:rsidP="00D74A8C">
            <w:pPr>
              <w:spacing w:before="40" w:after="0"/>
              <w:rPr>
                <w:rFonts w:eastAsia="Times New Roman" w:cstheme="minorHAnsi"/>
                <w:color w:val="000000"/>
                <w:sz w:val="20"/>
                <w:szCs w:val="20"/>
              </w:rPr>
            </w:pPr>
          </w:p>
        </w:tc>
        <w:tc>
          <w:tcPr>
            <w:tcW w:w="1260" w:type="dxa"/>
            <w:vMerge/>
          </w:tcPr>
          <w:p w14:paraId="468915E8" w14:textId="21ED2D0A" w:rsidR="00C73C6D" w:rsidRPr="00C73C6D" w:rsidRDefault="00C73C6D" w:rsidP="00D74A8C">
            <w:pPr>
              <w:spacing w:before="40" w:after="0"/>
              <w:jc w:val="right"/>
              <w:rPr>
                <w:rFonts w:eastAsia="Times New Roman" w:cstheme="minorHAnsi"/>
                <w:color w:val="000000"/>
                <w:sz w:val="20"/>
                <w:szCs w:val="20"/>
              </w:rPr>
            </w:pPr>
          </w:p>
        </w:tc>
        <w:tc>
          <w:tcPr>
            <w:tcW w:w="900" w:type="dxa"/>
            <w:shd w:val="clear" w:color="auto" w:fill="auto"/>
            <w:noWrap/>
          </w:tcPr>
          <w:p w14:paraId="141A3EE6" w14:textId="62740B0C" w:rsidR="00C73C6D" w:rsidRPr="00C73C6D" w:rsidRDefault="00C73C6D" w:rsidP="00D74A8C">
            <w:pPr>
              <w:spacing w:before="40" w:after="0"/>
              <w:jc w:val="center"/>
              <w:rPr>
                <w:rFonts w:eastAsia="Times New Roman" w:cstheme="minorHAnsi"/>
                <w:color w:val="000000"/>
                <w:sz w:val="20"/>
                <w:szCs w:val="20"/>
              </w:rPr>
            </w:pPr>
            <w:r w:rsidRPr="00C73C6D">
              <w:rPr>
                <w:rFonts w:cstheme="minorHAnsi"/>
                <w:color w:val="000000"/>
                <w:sz w:val="20"/>
                <w:szCs w:val="20"/>
              </w:rPr>
              <w:t>333923</w:t>
            </w:r>
          </w:p>
        </w:tc>
        <w:tc>
          <w:tcPr>
            <w:tcW w:w="4608" w:type="dxa"/>
            <w:shd w:val="clear" w:color="auto" w:fill="auto"/>
            <w:noWrap/>
          </w:tcPr>
          <w:p w14:paraId="4DEBBA52" w14:textId="18D8AF51" w:rsidR="00C73C6D" w:rsidRPr="00C73C6D" w:rsidRDefault="00C73C6D" w:rsidP="00D74A8C">
            <w:pPr>
              <w:spacing w:before="40" w:after="0"/>
              <w:rPr>
                <w:rFonts w:eastAsia="Times New Roman" w:cstheme="minorHAnsi"/>
                <w:color w:val="000000"/>
                <w:sz w:val="20"/>
                <w:szCs w:val="20"/>
              </w:rPr>
            </w:pPr>
            <w:r w:rsidRPr="00C73C6D">
              <w:rPr>
                <w:rFonts w:cstheme="minorHAnsi"/>
                <w:color w:val="000000"/>
                <w:sz w:val="20"/>
                <w:szCs w:val="20"/>
              </w:rPr>
              <w:t>Overhead traveling crane, hoist, and monorail system manufacturing</w:t>
            </w:r>
          </w:p>
        </w:tc>
        <w:tc>
          <w:tcPr>
            <w:tcW w:w="1440" w:type="dxa"/>
            <w:shd w:val="clear" w:color="auto" w:fill="auto"/>
            <w:noWrap/>
          </w:tcPr>
          <w:p w14:paraId="6757C18A" w14:textId="7135F56A" w:rsidR="00C73C6D" w:rsidRPr="00C73C6D" w:rsidRDefault="00C73C6D" w:rsidP="00D74A8C">
            <w:pPr>
              <w:spacing w:before="40" w:after="0"/>
              <w:jc w:val="right"/>
              <w:rPr>
                <w:rFonts w:eastAsia="Times New Roman" w:cstheme="minorHAnsi"/>
                <w:color w:val="000000"/>
                <w:sz w:val="20"/>
                <w:szCs w:val="20"/>
              </w:rPr>
            </w:pPr>
            <w:r w:rsidRPr="00C73C6D">
              <w:rPr>
                <w:rFonts w:cstheme="minorHAnsi"/>
                <w:color w:val="000000"/>
                <w:sz w:val="20"/>
                <w:szCs w:val="20"/>
              </w:rPr>
              <w:t>$304,969</w:t>
            </w:r>
          </w:p>
        </w:tc>
      </w:tr>
      <w:tr w:rsidR="00C73C6D" w:rsidRPr="004D22BF" w14:paraId="1C1F2E32" w14:textId="77777777" w:rsidTr="00C91387">
        <w:trPr>
          <w:trHeight w:val="70"/>
        </w:trPr>
        <w:tc>
          <w:tcPr>
            <w:tcW w:w="1890" w:type="dxa"/>
            <w:vMerge/>
            <w:shd w:val="clear" w:color="auto" w:fill="auto"/>
            <w:noWrap/>
          </w:tcPr>
          <w:p w14:paraId="20D3AFDE" w14:textId="09433815" w:rsidR="00C73C6D" w:rsidRPr="00C73C6D" w:rsidRDefault="00C73C6D" w:rsidP="00D74A8C">
            <w:pPr>
              <w:spacing w:before="40" w:after="0"/>
              <w:rPr>
                <w:rFonts w:eastAsia="Times New Roman" w:cstheme="minorHAnsi"/>
                <w:color w:val="000000"/>
                <w:sz w:val="20"/>
                <w:szCs w:val="20"/>
              </w:rPr>
            </w:pPr>
          </w:p>
        </w:tc>
        <w:tc>
          <w:tcPr>
            <w:tcW w:w="1260" w:type="dxa"/>
            <w:vMerge/>
          </w:tcPr>
          <w:p w14:paraId="740E886D" w14:textId="0BD3A743" w:rsidR="00C73C6D" w:rsidRPr="00C73C6D" w:rsidRDefault="00C73C6D" w:rsidP="00D74A8C">
            <w:pPr>
              <w:spacing w:before="40" w:after="0"/>
              <w:jc w:val="right"/>
              <w:rPr>
                <w:rFonts w:eastAsia="Times New Roman" w:cstheme="minorHAnsi"/>
                <w:color w:val="000000"/>
                <w:sz w:val="20"/>
                <w:szCs w:val="20"/>
              </w:rPr>
            </w:pPr>
          </w:p>
        </w:tc>
        <w:tc>
          <w:tcPr>
            <w:tcW w:w="900" w:type="dxa"/>
            <w:shd w:val="clear" w:color="auto" w:fill="auto"/>
            <w:noWrap/>
          </w:tcPr>
          <w:p w14:paraId="6C94A0F3" w14:textId="5DBF98F8" w:rsidR="00C73C6D" w:rsidRPr="00C73C6D" w:rsidRDefault="00C73C6D" w:rsidP="00D74A8C">
            <w:pPr>
              <w:spacing w:before="40" w:after="0"/>
              <w:jc w:val="center"/>
              <w:rPr>
                <w:rFonts w:eastAsia="Times New Roman" w:cstheme="minorHAnsi"/>
                <w:color w:val="000000"/>
                <w:sz w:val="20"/>
                <w:szCs w:val="20"/>
              </w:rPr>
            </w:pPr>
            <w:r w:rsidRPr="00C73C6D">
              <w:rPr>
                <w:rFonts w:cstheme="minorHAnsi"/>
                <w:color w:val="000000"/>
                <w:sz w:val="20"/>
                <w:szCs w:val="20"/>
              </w:rPr>
              <w:t>238990</w:t>
            </w:r>
          </w:p>
        </w:tc>
        <w:tc>
          <w:tcPr>
            <w:tcW w:w="4608" w:type="dxa"/>
            <w:shd w:val="clear" w:color="auto" w:fill="auto"/>
            <w:noWrap/>
          </w:tcPr>
          <w:p w14:paraId="1CEF8516" w14:textId="1A5C4527" w:rsidR="00C73C6D" w:rsidRPr="00C73C6D" w:rsidRDefault="00C73C6D" w:rsidP="00D74A8C">
            <w:pPr>
              <w:spacing w:before="40" w:after="0"/>
              <w:rPr>
                <w:rFonts w:eastAsia="Times New Roman" w:cstheme="minorHAnsi"/>
                <w:color w:val="000000"/>
                <w:sz w:val="20"/>
                <w:szCs w:val="20"/>
              </w:rPr>
            </w:pPr>
            <w:r w:rsidRPr="00C73C6D">
              <w:rPr>
                <w:rFonts w:cstheme="minorHAnsi"/>
                <w:color w:val="000000"/>
                <w:sz w:val="20"/>
                <w:szCs w:val="20"/>
              </w:rPr>
              <w:t>All other specialty trade contractors</w:t>
            </w:r>
          </w:p>
        </w:tc>
        <w:tc>
          <w:tcPr>
            <w:tcW w:w="1440" w:type="dxa"/>
            <w:shd w:val="clear" w:color="auto" w:fill="auto"/>
            <w:noWrap/>
          </w:tcPr>
          <w:p w14:paraId="2BD16BBE" w14:textId="3E14E8BB" w:rsidR="00C73C6D" w:rsidRPr="00C73C6D" w:rsidRDefault="00C73C6D" w:rsidP="00D74A8C">
            <w:pPr>
              <w:spacing w:before="40" w:after="0"/>
              <w:jc w:val="right"/>
              <w:rPr>
                <w:rFonts w:eastAsia="Times New Roman" w:cstheme="minorHAnsi"/>
                <w:color w:val="000000"/>
                <w:sz w:val="20"/>
                <w:szCs w:val="20"/>
              </w:rPr>
            </w:pPr>
            <w:r w:rsidRPr="00C73C6D">
              <w:rPr>
                <w:rFonts w:cstheme="minorHAnsi"/>
                <w:color w:val="000000"/>
                <w:sz w:val="20"/>
                <w:szCs w:val="20"/>
              </w:rPr>
              <w:t>$3,049,692</w:t>
            </w:r>
          </w:p>
        </w:tc>
      </w:tr>
      <w:tr w:rsidR="00C73C6D" w:rsidRPr="004D22BF" w14:paraId="2C73D790" w14:textId="77777777" w:rsidTr="00C91387">
        <w:trPr>
          <w:trHeight w:val="70"/>
        </w:trPr>
        <w:tc>
          <w:tcPr>
            <w:tcW w:w="1890" w:type="dxa"/>
            <w:vMerge w:val="restart"/>
            <w:shd w:val="clear" w:color="auto" w:fill="auto"/>
            <w:noWrap/>
          </w:tcPr>
          <w:p w14:paraId="0E82422A" w14:textId="6A87F99E" w:rsidR="00C73C6D" w:rsidRPr="00C73C6D" w:rsidRDefault="00C73C6D" w:rsidP="00D74A8C">
            <w:pPr>
              <w:spacing w:before="40" w:after="0"/>
              <w:rPr>
                <w:rFonts w:eastAsia="Times New Roman" w:cstheme="minorHAnsi"/>
                <w:color w:val="000000"/>
                <w:sz w:val="20"/>
                <w:szCs w:val="20"/>
              </w:rPr>
            </w:pPr>
            <w:r w:rsidRPr="00C73C6D">
              <w:rPr>
                <w:rFonts w:cstheme="minorHAnsi"/>
                <w:color w:val="000000"/>
                <w:sz w:val="20"/>
                <w:szCs w:val="20"/>
              </w:rPr>
              <w:t>Miscellaneous Bus Stop Improvements</w:t>
            </w:r>
          </w:p>
        </w:tc>
        <w:tc>
          <w:tcPr>
            <w:tcW w:w="1260" w:type="dxa"/>
            <w:vMerge w:val="restart"/>
          </w:tcPr>
          <w:p w14:paraId="60EB0521" w14:textId="77777777" w:rsidR="00C73C6D" w:rsidRPr="00C73C6D" w:rsidRDefault="00C73C6D" w:rsidP="00D74A8C">
            <w:pPr>
              <w:spacing w:before="40" w:after="0"/>
              <w:jc w:val="right"/>
              <w:rPr>
                <w:rFonts w:eastAsia="Times New Roman" w:cstheme="minorHAnsi"/>
                <w:color w:val="000000"/>
                <w:sz w:val="20"/>
                <w:szCs w:val="20"/>
              </w:rPr>
            </w:pPr>
            <w:r w:rsidRPr="00C73C6D">
              <w:rPr>
                <w:rFonts w:cstheme="minorHAnsi"/>
                <w:color w:val="000000"/>
                <w:sz w:val="20"/>
                <w:szCs w:val="20"/>
              </w:rPr>
              <w:t>$460,000</w:t>
            </w:r>
          </w:p>
          <w:p w14:paraId="3630FA3C" w14:textId="3330BA46" w:rsidR="00C73C6D" w:rsidRPr="00C73C6D" w:rsidRDefault="00C73C6D" w:rsidP="00D74A8C">
            <w:pPr>
              <w:spacing w:before="40" w:after="0"/>
              <w:jc w:val="right"/>
              <w:rPr>
                <w:rFonts w:eastAsia="Times New Roman" w:cstheme="minorHAnsi"/>
                <w:color w:val="000000"/>
                <w:sz w:val="20"/>
                <w:szCs w:val="20"/>
              </w:rPr>
            </w:pPr>
            <w:r w:rsidRPr="00C73C6D">
              <w:rPr>
                <w:rFonts w:cstheme="minorHAnsi"/>
                <w:color w:val="000000"/>
                <w:sz w:val="20"/>
                <w:szCs w:val="20"/>
              </w:rPr>
              <w:t> </w:t>
            </w:r>
          </w:p>
        </w:tc>
        <w:tc>
          <w:tcPr>
            <w:tcW w:w="900" w:type="dxa"/>
            <w:shd w:val="clear" w:color="auto" w:fill="auto"/>
            <w:noWrap/>
          </w:tcPr>
          <w:p w14:paraId="0FFC9363" w14:textId="1874A836" w:rsidR="00C73C6D" w:rsidRPr="00C73C6D" w:rsidRDefault="00C73C6D" w:rsidP="00D74A8C">
            <w:pPr>
              <w:spacing w:before="40" w:after="0"/>
              <w:jc w:val="center"/>
              <w:rPr>
                <w:rFonts w:eastAsia="Times New Roman" w:cstheme="minorHAnsi"/>
                <w:color w:val="000000"/>
                <w:sz w:val="20"/>
                <w:szCs w:val="20"/>
              </w:rPr>
            </w:pPr>
            <w:r w:rsidRPr="00C73C6D">
              <w:rPr>
                <w:rFonts w:cstheme="minorHAnsi"/>
                <w:color w:val="000000"/>
                <w:sz w:val="20"/>
                <w:szCs w:val="20"/>
              </w:rPr>
              <w:t>541330</w:t>
            </w:r>
          </w:p>
        </w:tc>
        <w:tc>
          <w:tcPr>
            <w:tcW w:w="4608" w:type="dxa"/>
            <w:shd w:val="clear" w:color="auto" w:fill="auto"/>
            <w:noWrap/>
          </w:tcPr>
          <w:p w14:paraId="67AEEA4B" w14:textId="4E65E048" w:rsidR="00C73C6D" w:rsidRPr="00C73C6D" w:rsidRDefault="00C73C6D" w:rsidP="00D74A8C">
            <w:pPr>
              <w:spacing w:before="40" w:after="0"/>
              <w:rPr>
                <w:rFonts w:eastAsia="Times New Roman" w:cstheme="minorHAnsi"/>
                <w:color w:val="000000"/>
                <w:sz w:val="20"/>
                <w:szCs w:val="20"/>
              </w:rPr>
            </w:pPr>
            <w:r w:rsidRPr="00C73C6D">
              <w:rPr>
                <w:rFonts w:cstheme="minorHAnsi"/>
                <w:color w:val="000000"/>
                <w:sz w:val="20"/>
                <w:szCs w:val="20"/>
              </w:rPr>
              <w:t>Engineering services</w:t>
            </w:r>
          </w:p>
        </w:tc>
        <w:tc>
          <w:tcPr>
            <w:tcW w:w="1440" w:type="dxa"/>
            <w:shd w:val="clear" w:color="auto" w:fill="auto"/>
            <w:noWrap/>
          </w:tcPr>
          <w:p w14:paraId="3C5F3B54" w14:textId="43312646" w:rsidR="00C73C6D" w:rsidRPr="00C73C6D" w:rsidRDefault="00C73C6D" w:rsidP="00D74A8C">
            <w:pPr>
              <w:spacing w:before="40" w:after="0"/>
              <w:jc w:val="right"/>
              <w:rPr>
                <w:rFonts w:eastAsia="Times New Roman" w:cstheme="minorHAnsi"/>
                <w:color w:val="000000"/>
                <w:sz w:val="20"/>
                <w:szCs w:val="20"/>
              </w:rPr>
            </w:pPr>
            <w:r w:rsidRPr="00C73C6D">
              <w:rPr>
                <w:rFonts w:cstheme="minorHAnsi"/>
                <w:color w:val="000000"/>
                <w:sz w:val="20"/>
                <w:szCs w:val="20"/>
              </w:rPr>
              <w:t>$72,632</w:t>
            </w:r>
          </w:p>
        </w:tc>
      </w:tr>
      <w:tr w:rsidR="00C73C6D" w:rsidRPr="004D22BF" w14:paraId="5EF50FEC" w14:textId="77777777" w:rsidTr="00C91387">
        <w:trPr>
          <w:trHeight w:val="98"/>
        </w:trPr>
        <w:tc>
          <w:tcPr>
            <w:tcW w:w="1890" w:type="dxa"/>
            <w:vMerge/>
            <w:shd w:val="clear" w:color="auto" w:fill="auto"/>
            <w:noWrap/>
          </w:tcPr>
          <w:p w14:paraId="781242F8" w14:textId="013FF434" w:rsidR="00C73C6D" w:rsidRPr="00C73C6D" w:rsidRDefault="00C73C6D" w:rsidP="00D74A8C">
            <w:pPr>
              <w:spacing w:before="40" w:after="0"/>
              <w:rPr>
                <w:rFonts w:eastAsia="Times New Roman" w:cstheme="minorHAnsi"/>
                <w:color w:val="000000"/>
                <w:sz w:val="20"/>
                <w:szCs w:val="20"/>
              </w:rPr>
            </w:pPr>
          </w:p>
        </w:tc>
        <w:tc>
          <w:tcPr>
            <w:tcW w:w="1260" w:type="dxa"/>
            <w:vMerge/>
          </w:tcPr>
          <w:p w14:paraId="6FA00E57" w14:textId="64FD5EED" w:rsidR="00C73C6D" w:rsidRPr="00C73C6D" w:rsidRDefault="00C73C6D" w:rsidP="00D74A8C">
            <w:pPr>
              <w:spacing w:before="40" w:after="0"/>
              <w:jc w:val="right"/>
              <w:rPr>
                <w:rFonts w:eastAsia="Times New Roman" w:cstheme="minorHAnsi"/>
                <w:color w:val="000000"/>
                <w:sz w:val="20"/>
                <w:szCs w:val="20"/>
              </w:rPr>
            </w:pPr>
          </w:p>
        </w:tc>
        <w:tc>
          <w:tcPr>
            <w:tcW w:w="900" w:type="dxa"/>
            <w:shd w:val="clear" w:color="auto" w:fill="auto"/>
            <w:noWrap/>
          </w:tcPr>
          <w:p w14:paraId="6A530F52" w14:textId="4C543EC1" w:rsidR="00C73C6D" w:rsidRPr="00C73C6D" w:rsidRDefault="00C73C6D" w:rsidP="00D74A8C">
            <w:pPr>
              <w:spacing w:before="40" w:after="0"/>
              <w:jc w:val="center"/>
              <w:rPr>
                <w:rFonts w:eastAsia="Times New Roman" w:cstheme="minorHAnsi"/>
                <w:color w:val="000000"/>
                <w:sz w:val="20"/>
                <w:szCs w:val="20"/>
              </w:rPr>
            </w:pPr>
            <w:r w:rsidRPr="00C73C6D">
              <w:rPr>
                <w:rFonts w:cstheme="minorHAnsi"/>
                <w:color w:val="000000"/>
                <w:sz w:val="20"/>
                <w:szCs w:val="20"/>
              </w:rPr>
              <w:t>236220</w:t>
            </w:r>
          </w:p>
        </w:tc>
        <w:tc>
          <w:tcPr>
            <w:tcW w:w="4608" w:type="dxa"/>
            <w:shd w:val="clear" w:color="auto" w:fill="auto"/>
            <w:noWrap/>
          </w:tcPr>
          <w:p w14:paraId="0F7FB667" w14:textId="56F85E3C" w:rsidR="00C73C6D" w:rsidRPr="00C73C6D" w:rsidRDefault="00C73C6D" w:rsidP="00D74A8C">
            <w:pPr>
              <w:spacing w:before="40" w:after="0"/>
              <w:rPr>
                <w:rFonts w:eastAsia="Times New Roman" w:cstheme="minorHAnsi"/>
                <w:color w:val="000000"/>
                <w:sz w:val="20"/>
                <w:szCs w:val="20"/>
              </w:rPr>
            </w:pPr>
            <w:r w:rsidRPr="00C73C6D">
              <w:rPr>
                <w:rFonts w:cstheme="minorHAnsi"/>
                <w:color w:val="000000"/>
                <w:sz w:val="20"/>
                <w:szCs w:val="20"/>
              </w:rPr>
              <w:t>Commercial and institutional building construction</w:t>
            </w:r>
          </w:p>
        </w:tc>
        <w:tc>
          <w:tcPr>
            <w:tcW w:w="1440" w:type="dxa"/>
            <w:shd w:val="clear" w:color="auto" w:fill="auto"/>
            <w:noWrap/>
          </w:tcPr>
          <w:p w14:paraId="31853954" w14:textId="4F962B30" w:rsidR="00C73C6D" w:rsidRPr="00C73C6D" w:rsidRDefault="00C73C6D" w:rsidP="00D74A8C">
            <w:pPr>
              <w:spacing w:before="40" w:after="0"/>
              <w:jc w:val="right"/>
              <w:rPr>
                <w:rFonts w:eastAsia="Times New Roman" w:cstheme="minorHAnsi"/>
                <w:color w:val="000000"/>
                <w:sz w:val="20"/>
                <w:szCs w:val="20"/>
              </w:rPr>
            </w:pPr>
            <w:r w:rsidRPr="00C73C6D">
              <w:rPr>
                <w:rFonts w:cstheme="minorHAnsi"/>
                <w:color w:val="000000"/>
                <w:sz w:val="20"/>
                <w:szCs w:val="20"/>
              </w:rPr>
              <w:t>$387,368</w:t>
            </w:r>
          </w:p>
        </w:tc>
      </w:tr>
      <w:tr w:rsidR="00C73C6D" w:rsidRPr="004D22BF" w14:paraId="33098704" w14:textId="77777777" w:rsidTr="00C91387">
        <w:trPr>
          <w:trHeight w:val="70"/>
        </w:trPr>
        <w:tc>
          <w:tcPr>
            <w:tcW w:w="1890" w:type="dxa"/>
            <w:vMerge w:val="restart"/>
            <w:shd w:val="clear" w:color="auto" w:fill="auto"/>
            <w:noWrap/>
          </w:tcPr>
          <w:p w14:paraId="5339D607" w14:textId="1F70E5A5" w:rsidR="00C73C6D" w:rsidRPr="00C73C6D" w:rsidRDefault="00C73C6D" w:rsidP="00D74A8C">
            <w:pPr>
              <w:spacing w:before="40" w:after="0"/>
              <w:rPr>
                <w:rFonts w:eastAsia="Times New Roman" w:cstheme="minorHAnsi"/>
                <w:color w:val="000000"/>
                <w:sz w:val="20"/>
                <w:szCs w:val="20"/>
              </w:rPr>
            </w:pPr>
            <w:r w:rsidRPr="00C73C6D">
              <w:rPr>
                <w:rFonts w:cstheme="minorHAnsi"/>
                <w:color w:val="000000"/>
                <w:sz w:val="20"/>
                <w:szCs w:val="20"/>
              </w:rPr>
              <w:t>Administrative Building Reconstruction</w:t>
            </w:r>
          </w:p>
        </w:tc>
        <w:tc>
          <w:tcPr>
            <w:tcW w:w="1260" w:type="dxa"/>
            <w:vMerge w:val="restart"/>
          </w:tcPr>
          <w:p w14:paraId="2D7865A4" w14:textId="77777777" w:rsidR="00C73C6D" w:rsidRPr="00C73C6D" w:rsidRDefault="00C73C6D" w:rsidP="00D74A8C">
            <w:pPr>
              <w:spacing w:before="40" w:after="0"/>
              <w:jc w:val="right"/>
              <w:rPr>
                <w:rFonts w:eastAsia="Times New Roman" w:cstheme="minorHAnsi"/>
                <w:color w:val="000000"/>
                <w:sz w:val="20"/>
                <w:szCs w:val="20"/>
              </w:rPr>
            </w:pPr>
            <w:r w:rsidRPr="00C73C6D">
              <w:rPr>
                <w:rFonts w:cstheme="minorHAnsi"/>
                <w:color w:val="000000"/>
                <w:sz w:val="20"/>
                <w:szCs w:val="20"/>
              </w:rPr>
              <w:t>$6,800,000</w:t>
            </w:r>
          </w:p>
          <w:p w14:paraId="6CD4A3A1" w14:textId="7EE00636" w:rsidR="00C73C6D" w:rsidRPr="00C73C6D" w:rsidRDefault="00C73C6D" w:rsidP="00D74A8C">
            <w:pPr>
              <w:spacing w:before="40" w:after="0"/>
              <w:jc w:val="right"/>
              <w:rPr>
                <w:rFonts w:eastAsia="Times New Roman" w:cstheme="minorHAnsi"/>
                <w:color w:val="000000"/>
                <w:sz w:val="20"/>
                <w:szCs w:val="20"/>
              </w:rPr>
            </w:pPr>
            <w:r w:rsidRPr="00C73C6D">
              <w:rPr>
                <w:rFonts w:cstheme="minorHAnsi"/>
                <w:color w:val="000000"/>
                <w:sz w:val="20"/>
                <w:szCs w:val="20"/>
              </w:rPr>
              <w:t> </w:t>
            </w:r>
          </w:p>
        </w:tc>
        <w:tc>
          <w:tcPr>
            <w:tcW w:w="900" w:type="dxa"/>
            <w:shd w:val="clear" w:color="auto" w:fill="auto"/>
            <w:noWrap/>
          </w:tcPr>
          <w:p w14:paraId="34965691" w14:textId="3335C8D8" w:rsidR="00C73C6D" w:rsidRPr="00C73C6D" w:rsidRDefault="00C73C6D" w:rsidP="00D74A8C">
            <w:pPr>
              <w:spacing w:before="40" w:after="0"/>
              <w:jc w:val="center"/>
              <w:rPr>
                <w:rFonts w:eastAsia="Times New Roman" w:cstheme="minorHAnsi"/>
                <w:color w:val="000000"/>
                <w:sz w:val="20"/>
                <w:szCs w:val="20"/>
              </w:rPr>
            </w:pPr>
            <w:r w:rsidRPr="00C73C6D">
              <w:rPr>
                <w:rFonts w:cstheme="minorHAnsi"/>
                <w:color w:val="000000"/>
                <w:sz w:val="20"/>
                <w:szCs w:val="20"/>
              </w:rPr>
              <w:t>541330</w:t>
            </w:r>
          </w:p>
        </w:tc>
        <w:tc>
          <w:tcPr>
            <w:tcW w:w="4608" w:type="dxa"/>
            <w:shd w:val="clear" w:color="auto" w:fill="auto"/>
            <w:noWrap/>
          </w:tcPr>
          <w:p w14:paraId="0683D4EB" w14:textId="3166C2F0" w:rsidR="00C73C6D" w:rsidRPr="00C73C6D" w:rsidRDefault="00C73C6D" w:rsidP="00D74A8C">
            <w:pPr>
              <w:spacing w:before="40" w:after="0"/>
              <w:rPr>
                <w:rFonts w:eastAsia="Times New Roman" w:cstheme="minorHAnsi"/>
                <w:color w:val="000000"/>
                <w:sz w:val="20"/>
                <w:szCs w:val="20"/>
              </w:rPr>
            </w:pPr>
            <w:r w:rsidRPr="00C73C6D">
              <w:rPr>
                <w:rFonts w:cstheme="minorHAnsi"/>
                <w:color w:val="000000"/>
                <w:sz w:val="20"/>
                <w:szCs w:val="20"/>
              </w:rPr>
              <w:t>Engineering services</w:t>
            </w:r>
          </w:p>
        </w:tc>
        <w:tc>
          <w:tcPr>
            <w:tcW w:w="1440" w:type="dxa"/>
            <w:shd w:val="clear" w:color="auto" w:fill="auto"/>
            <w:noWrap/>
          </w:tcPr>
          <w:p w14:paraId="0A8BDF7D" w14:textId="4F03AF85" w:rsidR="00C73C6D" w:rsidRPr="00C73C6D" w:rsidRDefault="00C73C6D" w:rsidP="00D74A8C">
            <w:pPr>
              <w:spacing w:before="40" w:after="0"/>
              <w:jc w:val="right"/>
              <w:rPr>
                <w:rFonts w:eastAsia="Times New Roman" w:cstheme="minorHAnsi"/>
                <w:color w:val="000000"/>
                <w:sz w:val="20"/>
                <w:szCs w:val="20"/>
              </w:rPr>
            </w:pPr>
            <w:r w:rsidRPr="00C73C6D">
              <w:rPr>
                <w:rFonts w:cstheme="minorHAnsi"/>
                <w:color w:val="000000"/>
                <w:sz w:val="20"/>
                <w:szCs w:val="20"/>
              </w:rPr>
              <w:t>$755,556</w:t>
            </w:r>
          </w:p>
        </w:tc>
      </w:tr>
      <w:tr w:rsidR="00C73C6D" w:rsidRPr="004D22BF" w14:paraId="0F3CCC6A" w14:textId="77777777" w:rsidTr="00C91387">
        <w:trPr>
          <w:trHeight w:val="20"/>
        </w:trPr>
        <w:tc>
          <w:tcPr>
            <w:tcW w:w="1890" w:type="dxa"/>
            <w:vMerge/>
            <w:shd w:val="clear" w:color="auto" w:fill="auto"/>
            <w:noWrap/>
          </w:tcPr>
          <w:p w14:paraId="37966F1D" w14:textId="453E5509" w:rsidR="00C73C6D" w:rsidRPr="00C73C6D" w:rsidRDefault="00C73C6D" w:rsidP="00D74A8C">
            <w:pPr>
              <w:spacing w:before="40" w:after="0"/>
              <w:rPr>
                <w:rFonts w:eastAsia="Times New Roman" w:cstheme="minorHAnsi"/>
                <w:color w:val="000000"/>
                <w:sz w:val="20"/>
                <w:szCs w:val="20"/>
              </w:rPr>
            </w:pPr>
          </w:p>
        </w:tc>
        <w:tc>
          <w:tcPr>
            <w:tcW w:w="1260" w:type="dxa"/>
            <w:vMerge/>
            <w:vAlign w:val="center"/>
          </w:tcPr>
          <w:p w14:paraId="2131812E" w14:textId="3676A132" w:rsidR="00C73C6D" w:rsidRPr="00C73C6D" w:rsidRDefault="00C73C6D" w:rsidP="00D74A8C">
            <w:pPr>
              <w:spacing w:before="40" w:after="0"/>
              <w:jc w:val="right"/>
              <w:rPr>
                <w:rFonts w:eastAsia="Times New Roman" w:cstheme="minorHAnsi"/>
                <w:color w:val="000000"/>
                <w:sz w:val="20"/>
                <w:szCs w:val="20"/>
              </w:rPr>
            </w:pPr>
          </w:p>
        </w:tc>
        <w:tc>
          <w:tcPr>
            <w:tcW w:w="900" w:type="dxa"/>
            <w:shd w:val="clear" w:color="auto" w:fill="auto"/>
            <w:noWrap/>
          </w:tcPr>
          <w:p w14:paraId="03358CCB" w14:textId="34AF85A9" w:rsidR="00C73C6D" w:rsidRPr="00C73C6D" w:rsidRDefault="00C73C6D" w:rsidP="00D74A8C">
            <w:pPr>
              <w:spacing w:before="40" w:after="0"/>
              <w:jc w:val="center"/>
              <w:rPr>
                <w:rFonts w:eastAsia="Times New Roman" w:cstheme="minorHAnsi"/>
                <w:color w:val="000000"/>
                <w:sz w:val="20"/>
                <w:szCs w:val="20"/>
              </w:rPr>
            </w:pPr>
            <w:r w:rsidRPr="00C73C6D">
              <w:rPr>
                <w:rFonts w:cstheme="minorHAnsi"/>
                <w:color w:val="000000"/>
                <w:sz w:val="20"/>
                <w:szCs w:val="20"/>
              </w:rPr>
              <w:t>236220</w:t>
            </w:r>
          </w:p>
        </w:tc>
        <w:tc>
          <w:tcPr>
            <w:tcW w:w="4608" w:type="dxa"/>
            <w:shd w:val="clear" w:color="auto" w:fill="auto"/>
            <w:noWrap/>
          </w:tcPr>
          <w:p w14:paraId="3866FB5F" w14:textId="4CA76F8C" w:rsidR="00C73C6D" w:rsidRPr="00C73C6D" w:rsidRDefault="00C73C6D" w:rsidP="00D74A8C">
            <w:pPr>
              <w:spacing w:before="40" w:after="0"/>
              <w:rPr>
                <w:rFonts w:eastAsia="Times New Roman" w:cstheme="minorHAnsi"/>
                <w:color w:val="000000"/>
                <w:sz w:val="20"/>
                <w:szCs w:val="20"/>
              </w:rPr>
            </w:pPr>
            <w:r w:rsidRPr="00C73C6D">
              <w:rPr>
                <w:rFonts w:cstheme="minorHAnsi"/>
                <w:color w:val="000000"/>
                <w:sz w:val="20"/>
                <w:szCs w:val="20"/>
              </w:rPr>
              <w:t>Commercial and institutional building construction</w:t>
            </w:r>
          </w:p>
        </w:tc>
        <w:tc>
          <w:tcPr>
            <w:tcW w:w="1440" w:type="dxa"/>
            <w:shd w:val="clear" w:color="auto" w:fill="auto"/>
            <w:noWrap/>
          </w:tcPr>
          <w:p w14:paraId="61C64B1F" w14:textId="5B716E69" w:rsidR="00C73C6D" w:rsidRPr="00C73C6D" w:rsidRDefault="00C73C6D" w:rsidP="00D74A8C">
            <w:pPr>
              <w:spacing w:before="40" w:after="0"/>
              <w:jc w:val="right"/>
              <w:rPr>
                <w:rFonts w:eastAsia="Times New Roman" w:cstheme="minorHAnsi"/>
                <w:color w:val="000000"/>
                <w:sz w:val="20"/>
                <w:szCs w:val="20"/>
              </w:rPr>
            </w:pPr>
            <w:r w:rsidRPr="00C73C6D">
              <w:rPr>
                <w:rFonts w:cstheme="minorHAnsi"/>
                <w:color w:val="000000"/>
                <w:sz w:val="20"/>
                <w:szCs w:val="20"/>
              </w:rPr>
              <w:t>$6,044,444</w:t>
            </w:r>
          </w:p>
        </w:tc>
      </w:tr>
      <w:tr w:rsidR="00C73C6D" w:rsidRPr="004D22BF" w14:paraId="6E202A14" w14:textId="77777777" w:rsidTr="00C91387">
        <w:trPr>
          <w:trHeight w:val="300"/>
        </w:trPr>
        <w:tc>
          <w:tcPr>
            <w:tcW w:w="1890" w:type="dxa"/>
            <w:shd w:val="clear" w:color="auto" w:fill="444444" w:themeFill="text1"/>
            <w:noWrap/>
            <w:vAlign w:val="center"/>
            <w:hideMark/>
          </w:tcPr>
          <w:p w14:paraId="1283E7A5" w14:textId="77777777" w:rsidR="00C73C6D" w:rsidRPr="005B6BAD" w:rsidRDefault="00C73C6D" w:rsidP="00C73C6D">
            <w:pPr>
              <w:spacing w:after="0"/>
              <w:jc w:val="center"/>
              <w:rPr>
                <w:rFonts w:ascii="Calibri" w:eastAsia="Times New Roman" w:hAnsi="Calibri" w:cs="Calibri"/>
                <w:b/>
                <w:bCs/>
                <w:color w:val="FFFFFF" w:themeColor="background1"/>
                <w:sz w:val="20"/>
                <w:szCs w:val="20"/>
              </w:rPr>
            </w:pPr>
            <w:r w:rsidRPr="005B6BAD">
              <w:rPr>
                <w:rFonts w:ascii="Calibri" w:eastAsia="Times New Roman" w:hAnsi="Calibri" w:cs="Calibri"/>
                <w:b/>
                <w:bCs/>
                <w:color w:val="FFFFFF" w:themeColor="background1"/>
                <w:sz w:val="20"/>
                <w:szCs w:val="20"/>
              </w:rPr>
              <w:t>Total</w:t>
            </w:r>
          </w:p>
        </w:tc>
        <w:tc>
          <w:tcPr>
            <w:tcW w:w="1260" w:type="dxa"/>
            <w:shd w:val="clear" w:color="auto" w:fill="444444" w:themeFill="text1"/>
            <w:vAlign w:val="center"/>
          </w:tcPr>
          <w:p w14:paraId="695A62FB" w14:textId="2BA58804" w:rsidR="00C73C6D" w:rsidRPr="004D22BF" w:rsidRDefault="00C73C6D" w:rsidP="00C73C6D">
            <w:pPr>
              <w:spacing w:after="0"/>
              <w:jc w:val="center"/>
              <w:rPr>
                <w:rFonts w:ascii="Calibri" w:eastAsia="Times New Roman" w:hAnsi="Calibri" w:cs="Calibri"/>
                <w:b/>
                <w:bCs/>
                <w:color w:val="FFFFFF" w:themeColor="background1"/>
                <w:sz w:val="20"/>
                <w:szCs w:val="20"/>
              </w:rPr>
            </w:pPr>
            <w:r w:rsidRPr="004D22BF">
              <w:rPr>
                <w:rFonts w:ascii="Calibri" w:eastAsia="Times New Roman" w:hAnsi="Calibri" w:cs="Calibri"/>
                <w:b/>
                <w:bCs/>
                <w:color w:val="FFFFFF" w:themeColor="background1"/>
                <w:sz w:val="20"/>
                <w:szCs w:val="20"/>
              </w:rPr>
              <w:t>$</w:t>
            </w:r>
            <w:r>
              <w:rPr>
                <w:rFonts w:ascii="Calibri" w:eastAsia="Times New Roman" w:hAnsi="Calibri" w:cs="Calibri"/>
                <w:b/>
                <w:bCs/>
                <w:color w:val="FFFFFF" w:themeColor="background1"/>
                <w:sz w:val="20"/>
                <w:szCs w:val="20"/>
              </w:rPr>
              <w:t>14,060,000</w:t>
            </w:r>
          </w:p>
        </w:tc>
        <w:tc>
          <w:tcPr>
            <w:tcW w:w="900" w:type="dxa"/>
            <w:shd w:val="clear" w:color="auto" w:fill="444444" w:themeFill="text1"/>
            <w:noWrap/>
            <w:vAlign w:val="center"/>
            <w:hideMark/>
          </w:tcPr>
          <w:p w14:paraId="4B94204F" w14:textId="77777777" w:rsidR="00C73C6D" w:rsidRPr="005B6BAD" w:rsidRDefault="00C73C6D" w:rsidP="00C73C6D">
            <w:pPr>
              <w:spacing w:after="0"/>
              <w:jc w:val="center"/>
              <w:rPr>
                <w:rFonts w:ascii="Calibri" w:eastAsia="Times New Roman" w:hAnsi="Calibri" w:cs="Calibri"/>
                <w:b/>
                <w:bCs/>
                <w:color w:val="FFFFFF" w:themeColor="background1"/>
                <w:sz w:val="20"/>
                <w:szCs w:val="20"/>
              </w:rPr>
            </w:pPr>
          </w:p>
        </w:tc>
        <w:tc>
          <w:tcPr>
            <w:tcW w:w="4608" w:type="dxa"/>
            <w:shd w:val="clear" w:color="auto" w:fill="444444" w:themeFill="text1"/>
            <w:noWrap/>
            <w:vAlign w:val="center"/>
            <w:hideMark/>
          </w:tcPr>
          <w:p w14:paraId="0CA84A79" w14:textId="77777777" w:rsidR="00C73C6D" w:rsidRPr="005B6BAD" w:rsidRDefault="00C73C6D" w:rsidP="00C73C6D">
            <w:pPr>
              <w:spacing w:after="0"/>
              <w:jc w:val="center"/>
              <w:rPr>
                <w:rFonts w:ascii="Times New Roman" w:eastAsia="Times New Roman" w:hAnsi="Times New Roman" w:cs="Times New Roman"/>
                <w:color w:val="FFFFFF" w:themeColor="background1"/>
                <w:sz w:val="20"/>
                <w:szCs w:val="20"/>
              </w:rPr>
            </w:pPr>
          </w:p>
        </w:tc>
        <w:tc>
          <w:tcPr>
            <w:tcW w:w="1440" w:type="dxa"/>
            <w:shd w:val="clear" w:color="auto" w:fill="444444" w:themeFill="text1"/>
            <w:noWrap/>
            <w:vAlign w:val="center"/>
            <w:hideMark/>
          </w:tcPr>
          <w:p w14:paraId="2F3DBA48" w14:textId="72614672" w:rsidR="00C73C6D" w:rsidRPr="005B6BAD" w:rsidRDefault="00C73C6D" w:rsidP="00C73C6D">
            <w:pPr>
              <w:spacing w:after="0"/>
              <w:jc w:val="center"/>
              <w:rPr>
                <w:rFonts w:ascii="Calibri" w:eastAsia="Times New Roman" w:hAnsi="Calibri" w:cs="Calibri"/>
                <w:b/>
                <w:bCs/>
                <w:color w:val="FFFFFF" w:themeColor="background1"/>
                <w:sz w:val="20"/>
                <w:szCs w:val="20"/>
              </w:rPr>
            </w:pPr>
            <w:r w:rsidRPr="004D22BF">
              <w:rPr>
                <w:rFonts w:ascii="Calibri" w:eastAsia="Times New Roman" w:hAnsi="Calibri" w:cs="Calibri"/>
                <w:b/>
                <w:bCs/>
                <w:color w:val="FFFFFF" w:themeColor="background1"/>
                <w:sz w:val="20"/>
                <w:szCs w:val="20"/>
              </w:rPr>
              <w:t>$</w:t>
            </w:r>
            <w:r>
              <w:rPr>
                <w:rFonts w:ascii="Calibri" w:eastAsia="Times New Roman" w:hAnsi="Calibri" w:cs="Calibri"/>
                <w:b/>
                <w:bCs/>
                <w:color w:val="FFFFFF" w:themeColor="background1"/>
                <w:sz w:val="20"/>
                <w:szCs w:val="20"/>
              </w:rPr>
              <w:t>14,060,000</w:t>
            </w:r>
          </w:p>
        </w:tc>
      </w:tr>
    </w:tbl>
    <w:p w14:paraId="62FB3DDF" w14:textId="77777777" w:rsidR="00DC324A" w:rsidRDefault="00DC324A" w:rsidP="00DC324A">
      <w:pPr>
        <w:spacing w:before="240"/>
        <w:jc w:val="both"/>
      </w:pPr>
      <w:r w:rsidRPr="00BA2A8D">
        <w:t xml:space="preserve">Table 3 is a summary of each NAICS code and the total dollar values for each NAICS code based on projects listed in Table 2. </w:t>
      </w:r>
    </w:p>
    <w:p w14:paraId="23DF007A" w14:textId="77777777" w:rsidR="00E07F8A" w:rsidRPr="00E07F8A" w:rsidRDefault="00E07F8A" w:rsidP="00E07F8A">
      <w:pPr>
        <w:autoSpaceDE w:val="0"/>
        <w:autoSpaceDN w:val="0"/>
        <w:adjustRightInd w:val="0"/>
        <w:spacing w:after="0"/>
        <w:jc w:val="both"/>
        <w:rPr>
          <w:rFonts w:eastAsia="Times New Roman" w:cstheme="minorHAnsi"/>
        </w:rPr>
      </w:pPr>
    </w:p>
    <w:p w14:paraId="5B81708C" w14:textId="77777777" w:rsidR="00DC324A" w:rsidRPr="00BA2A8D" w:rsidRDefault="00DC324A" w:rsidP="00DC324A">
      <w:pPr>
        <w:autoSpaceDE w:val="0"/>
        <w:autoSpaceDN w:val="0"/>
        <w:adjustRightInd w:val="0"/>
        <w:spacing w:after="0"/>
        <w:ind w:left="360"/>
        <w:jc w:val="center"/>
        <w:rPr>
          <w:rFonts w:eastAsia="Times New Roman" w:cstheme="minorHAnsi"/>
          <w:b/>
          <w:szCs w:val="20"/>
        </w:rPr>
      </w:pPr>
      <w:r w:rsidRPr="00BA2A8D">
        <w:rPr>
          <w:rFonts w:eastAsia="Times New Roman" w:cstheme="minorHAnsi"/>
          <w:b/>
          <w:szCs w:val="20"/>
        </w:rPr>
        <w:t>TABLE 3: NAICS Code Summary</w:t>
      </w:r>
    </w:p>
    <w:p w14:paraId="0FC79137" w14:textId="77777777" w:rsidR="00DC324A" w:rsidRPr="00BA2A8D" w:rsidRDefault="00DC324A" w:rsidP="00DC324A">
      <w:pPr>
        <w:autoSpaceDE w:val="0"/>
        <w:autoSpaceDN w:val="0"/>
        <w:adjustRightInd w:val="0"/>
        <w:spacing w:after="0"/>
        <w:ind w:left="360"/>
        <w:jc w:val="center"/>
        <w:rPr>
          <w:rFonts w:eastAsia="Times New Roman" w:cstheme="minorHAnsi"/>
          <w:bCs/>
          <w:i/>
          <w:iCs/>
          <w:szCs w:val="20"/>
        </w:rPr>
      </w:pPr>
      <w:r w:rsidRPr="00BA2A8D">
        <w:rPr>
          <w:rFonts w:eastAsia="Times New Roman" w:cstheme="minorHAnsi"/>
          <w:bCs/>
          <w:i/>
          <w:iCs/>
          <w:szCs w:val="20"/>
        </w:rPr>
        <w:t>(amounts subject to rounding differences)</w:t>
      </w: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5917"/>
        <w:gridCol w:w="1335"/>
        <w:gridCol w:w="1635"/>
      </w:tblGrid>
      <w:tr w:rsidR="00DC324A" w:rsidRPr="00BA2A8D" w14:paraId="5DE7C80A" w14:textId="77777777" w:rsidTr="00625325">
        <w:trPr>
          <w:trHeight w:val="615"/>
          <w:tblHeader/>
        </w:trPr>
        <w:tc>
          <w:tcPr>
            <w:tcW w:w="1165" w:type="dxa"/>
            <w:shd w:val="clear" w:color="auto" w:fill="444444" w:themeFill="text1"/>
            <w:vAlign w:val="center"/>
            <w:hideMark/>
          </w:tcPr>
          <w:p w14:paraId="761AA319" w14:textId="18C44BAC" w:rsidR="00DC324A" w:rsidRPr="00BA2A8D" w:rsidRDefault="00AF6C52" w:rsidP="001C440D">
            <w:pPr>
              <w:spacing w:after="0"/>
              <w:jc w:val="center"/>
              <w:rPr>
                <w:rFonts w:eastAsia="Times New Roman" w:cstheme="minorHAnsi"/>
                <w:b/>
                <w:bCs/>
                <w:color w:val="FFFFFF"/>
                <w:sz w:val="20"/>
                <w:szCs w:val="20"/>
              </w:rPr>
            </w:pPr>
            <w:r w:rsidRPr="00BA2A8D">
              <w:rPr>
                <w:rFonts w:eastAsia="Times New Roman" w:cstheme="minorHAnsi"/>
                <w:b/>
                <w:bCs/>
                <w:color w:val="FFFFFF"/>
                <w:sz w:val="20"/>
                <w:szCs w:val="20"/>
              </w:rPr>
              <w:t>NAICS CODE</w:t>
            </w:r>
          </w:p>
        </w:tc>
        <w:tc>
          <w:tcPr>
            <w:tcW w:w="5917" w:type="dxa"/>
            <w:shd w:val="clear" w:color="auto" w:fill="444444" w:themeFill="text1"/>
            <w:vAlign w:val="center"/>
            <w:hideMark/>
          </w:tcPr>
          <w:p w14:paraId="76EFF828" w14:textId="005A8A26" w:rsidR="00DC324A" w:rsidRPr="00BA2A8D" w:rsidRDefault="00AF6C52" w:rsidP="001C440D">
            <w:pPr>
              <w:spacing w:after="0"/>
              <w:jc w:val="center"/>
              <w:rPr>
                <w:rFonts w:eastAsia="Times New Roman" w:cstheme="minorHAnsi"/>
                <w:b/>
                <w:bCs/>
                <w:color w:val="FFFFFF"/>
                <w:sz w:val="20"/>
                <w:szCs w:val="20"/>
              </w:rPr>
            </w:pPr>
            <w:r w:rsidRPr="00BA2A8D">
              <w:rPr>
                <w:rFonts w:eastAsia="Times New Roman" w:cstheme="minorHAnsi"/>
                <w:b/>
                <w:bCs/>
                <w:color w:val="FFFFFF"/>
                <w:sz w:val="20"/>
                <w:szCs w:val="20"/>
              </w:rPr>
              <w:t>CATEGORY OF WORK</w:t>
            </w:r>
          </w:p>
        </w:tc>
        <w:tc>
          <w:tcPr>
            <w:tcW w:w="1335" w:type="dxa"/>
            <w:shd w:val="clear" w:color="auto" w:fill="444444"/>
            <w:vAlign w:val="center"/>
            <w:hideMark/>
          </w:tcPr>
          <w:p w14:paraId="6F0FFCF5" w14:textId="3E3E838A" w:rsidR="00DC324A" w:rsidRPr="00BA2A8D" w:rsidRDefault="00AF6C52" w:rsidP="00625325">
            <w:pPr>
              <w:spacing w:after="0"/>
              <w:jc w:val="center"/>
              <w:rPr>
                <w:rFonts w:eastAsia="Times New Roman" w:cstheme="minorHAnsi"/>
                <w:b/>
                <w:bCs/>
                <w:color w:val="FFFFFF"/>
                <w:sz w:val="20"/>
                <w:szCs w:val="20"/>
              </w:rPr>
            </w:pPr>
            <w:r w:rsidRPr="00BA2A8D">
              <w:rPr>
                <w:rFonts w:eastAsia="Times New Roman" w:cstheme="minorHAnsi"/>
                <w:b/>
                <w:bCs/>
                <w:color w:val="FFFFFF"/>
                <w:sz w:val="20"/>
                <w:szCs w:val="20"/>
              </w:rPr>
              <w:t>NAICS DOLLARS</w:t>
            </w:r>
            <w:r w:rsidR="00DC324A" w:rsidRPr="00BA2A8D">
              <w:rPr>
                <w:rStyle w:val="FootnoteReference"/>
                <w:rFonts w:eastAsia="Times New Roman" w:cstheme="minorHAnsi"/>
                <w:b/>
                <w:bCs/>
                <w:color w:val="FFFFFF"/>
                <w:sz w:val="20"/>
                <w:szCs w:val="20"/>
              </w:rPr>
              <w:footnoteReference w:id="9"/>
            </w:r>
          </w:p>
        </w:tc>
        <w:tc>
          <w:tcPr>
            <w:tcW w:w="1635" w:type="dxa"/>
            <w:shd w:val="clear" w:color="auto" w:fill="444444"/>
            <w:vAlign w:val="center"/>
            <w:hideMark/>
          </w:tcPr>
          <w:p w14:paraId="53682888" w14:textId="0A3FF41B" w:rsidR="00DC324A" w:rsidRPr="00BA2A8D" w:rsidRDefault="00AF6C52" w:rsidP="001C440D">
            <w:pPr>
              <w:spacing w:after="0"/>
              <w:jc w:val="center"/>
              <w:rPr>
                <w:rFonts w:eastAsia="Times New Roman" w:cstheme="minorHAnsi"/>
                <w:b/>
                <w:bCs/>
                <w:color w:val="FFFFFF"/>
                <w:sz w:val="20"/>
                <w:szCs w:val="20"/>
              </w:rPr>
            </w:pPr>
            <w:r w:rsidRPr="00BA2A8D">
              <w:rPr>
                <w:rFonts w:eastAsia="Times New Roman" w:cstheme="minorHAnsi"/>
                <w:b/>
                <w:bCs/>
                <w:color w:val="FFFFFF"/>
                <w:sz w:val="20"/>
                <w:szCs w:val="20"/>
              </w:rPr>
              <w:t>NAICS FUNDING WEIGHT</w:t>
            </w:r>
            <w:r w:rsidR="00DC324A" w:rsidRPr="00BA2A8D">
              <w:rPr>
                <w:rStyle w:val="FootnoteReference"/>
                <w:rFonts w:eastAsia="Times New Roman" w:cstheme="minorHAnsi"/>
                <w:b/>
                <w:bCs/>
                <w:color w:val="FFFFFF"/>
                <w:sz w:val="20"/>
                <w:szCs w:val="20"/>
              </w:rPr>
              <w:footnoteReference w:id="10"/>
            </w:r>
          </w:p>
        </w:tc>
      </w:tr>
      <w:tr w:rsidR="006227D7" w:rsidRPr="00694F90" w14:paraId="4DB0B46A" w14:textId="77777777" w:rsidTr="00625325">
        <w:trPr>
          <w:trHeight w:val="70"/>
        </w:trPr>
        <w:tc>
          <w:tcPr>
            <w:tcW w:w="1165" w:type="dxa"/>
            <w:shd w:val="clear" w:color="auto" w:fill="auto"/>
            <w:noWrap/>
            <w:vAlign w:val="center"/>
          </w:tcPr>
          <w:p w14:paraId="1FF21149" w14:textId="52F8A3FB" w:rsidR="006227D7" w:rsidRPr="00864257" w:rsidRDefault="006227D7" w:rsidP="006227D7">
            <w:pPr>
              <w:spacing w:after="0"/>
              <w:jc w:val="center"/>
              <w:rPr>
                <w:rFonts w:eastAsia="Times New Roman" w:cstheme="minorHAnsi"/>
                <w:color w:val="000000"/>
                <w:sz w:val="20"/>
                <w:szCs w:val="20"/>
                <w:highlight w:val="yellow"/>
              </w:rPr>
            </w:pPr>
            <w:r>
              <w:rPr>
                <w:rFonts w:ascii="Calibri" w:hAnsi="Calibri" w:cs="Calibri"/>
                <w:color w:val="000000"/>
                <w:sz w:val="20"/>
                <w:szCs w:val="20"/>
              </w:rPr>
              <w:t>236220</w:t>
            </w:r>
          </w:p>
        </w:tc>
        <w:tc>
          <w:tcPr>
            <w:tcW w:w="5917" w:type="dxa"/>
            <w:shd w:val="clear" w:color="auto" w:fill="auto"/>
            <w:vAlign w:val="center"/>
          </w:tcPr>
          <w:p w14:paraId="248DD558" w14:textId="27B7B54B" w:rsidR="006227D7" w:rsidRPr="00864257" w:rsidRDefault="006227D7" w:rsidP="006227D7">
            <w:pPr>
              <w:spacing w:after="0"/>
              <w:rPr>
                <w:rFonts w:eastAsia="Times New Roman" w:cstheme="minorHAnsi"/>
                <w:color w:val="000000"/>
                <w:sz w:val="20"/>
                <w:szCs w:val="20"/>
                <w:highlight w:val="yellow"/>
              </w:rPr>
            </w:pPr>
            <w:r>
              <w:rPr>
                <w:rFonts w:ascii="Calibri" w:hAnsi="Calibri" w:cs="Calibri"/>
                <w:color w:val="000000"/>
                <w:sz w:val="20"/>
                <w:szCs w:val="20"/>
              </w:rPr>
              <w:t>Commercial and institutional building construction</w:t>
            </w:r>
          </w:p>
        </w:tc>
        <w:tc>
          <w:tcPr>
            <w:tcW w:w="1335" w:type="dxa"/>
            <w:shd w:val="clear" w:color="auto" w:fill="auto"/>
            <w:vAlign w:val="center"/>
          </w:tcPr>
          <w:p w14:paraId="703E50CE" w14:textId="4DB2C14E" w:rsidR="006227D7" w:rsidRPr="00864257" w:rsidRDefault="006227D7" w:rsidP="006227D7">
            <w:pPr>
              <w:spacing w:after="0"/>
              <w:jc w:val="right"/>
              <w:rPr>
                <w:rFonts w:eastAsia="Times New Roman" w:cstheme="minorHAnsi"/>
                <w:sz w:val="20"/>
                <w:szCs w:val="20"/>
                <w:highlight w:val="yellow"/>
              </w:rPr>
            </w:pPr>
            <w:r>
              <w:rPr>
                <w:rFonts w:ascii="Calibri" w:hAnsi="Calibri" w:cs="Calibri"/>
                <w:color w:val="000000"/>
                <w:sz w:val="20"/>
                <w:szCs w:val="20"/>
              </w:rPr>
              <w:t>$6,431,813</w:t>
            </w:r>
          </w:p>
        </w:tc>
        <w:tc>
          <w:tcPr>
            <w:tcW w:w="1635" w:type="dxa"/>
            <w:shd w:val="clear" w:color="auto" w:fill="auto"/>
            <w:vAlign w:val="center"/>
          </w:tcPr>
          <w:p w14:paraId="21AEE5C0" w14:textId="5DAEBCFA" w:rsidR="006227D7" w:rsidRPr="00864257" w:rsidRDefault="006227D7" w:rsidP="006227D7">
            <w:pPr>
              <w:spacing w:after="0"/>
              <w:jc w:val="center"/>
              <w:rPr>
                <w:rFonts w:eastAsia="Times New Roman" w:cstheme="minorHAnsi"/>
                <w:sz w:val="20"/>
                <w:szCs w:val="20"/>
                <w:highlight w:val="yellow"/>
              </w:rPr>
            </w:pPr>
            <w:r>
              <w:rPr>
                <w:rFonts w:ascii="Calibri" w:hAnsi="Calibri" w:cs="Calibri"/>
                <w:color w:val="000000"/>
                <w:sz w:val="20"/>
                <w:szCs w:val="20"/>
              </w:rPr>
              <w:t>45.7%</w:t>
            </w:r>
          </w:p>
        </w:tc>
      </w:tr>
      <w:tr w:rsidR="006227D7" w:rsidRPr="00694F90" w14:paraId="6AABAFF9" w14:textId="77777777" w:rsidTr="00625325">
        <w:trPr>
          <w:trHeight w:val="70"/>
        </w:trPr>
        <w:tc>
          <w:tcPr>
            <w:tcW w:w="1165" w:type="dxa"/>
            <w:shd w:val="clear" w:color="auto" w:fill="auto"/>
            <w:noWrap/>
            <w:vAlign w:val="center"/>
          </w:tcPr>
          <w:p w14:paraId="0F063328" w14:textId="1394B564" w:rsidR="006227D7" w:rsidRPr="00864257" w:rsidRDefault="006227D7" w:rsidP="006227D7">
            <w:pPr>
              <w:spacing w:after="0"/>
              <w:jc w:val="center"/>
              <w:rPr>
                <w:rFonts w:eastAsia="Times New Roman" w:cstheme="minorHAnsi"/>
                <w:color w:val="000000"/>
                <w:sz w:val="20"/>
                <w:szCs w:val="20"/>
                <w:highlight w:val="yellow"/>
              </w:rPr>
            </w:pPr>
            <w:r>
              <w:rPr>
                <w:rFonts w:ascii="Calibri" w:hAnsi="Calibri" w:cs="Calibri"/>
                <w:color w:val="000000"/>
                <w:sz w:val="20"/>
                <w:szCs w:val="20"/>
              </w:rPr>
              <w:t>238210</w:t>
            </w:r>
          </w:p>
        </w:tc>
        <w:tc>
          <w:tcPr>
            <w:tcW w:w="5917" w:type="dxa"/>
            <w:shd w:val="clear" w:color="auto" w:fill="auto"/>
            <w:vAlign w:val="center"/>
          </w:tcPr>
          <w:p w14:paraId="7BE5478A" w14:textId="4AFF6663" w:rsidR="006227D7" w:rsidRPr="00864257" w:rsidRDefault="006227D7" w:rsidP="006227D7">
            <w:pPr>
              <w:spacing w:after="0"/>
              <w:rPr>
                <w:rFonts w:eastAsia="Times New Roman" w:cstheme="minorHAnsi"/>
                <w:color w:val="000000"/>
                <w:sz w:val="20"/>
                <w:szCs w:val="20"/>
                <w:highlight w:val="yellow"/>
              </w:rPr>
            </w:pPr>
            <w:r>
              <w:rPr>
                <w:rFonts w:ascii="Calibri" w:hAnsi="Calibri" w:cs="Calibri"/>
                <w:color w:val="000000"/>
                <w:sz w:val="20"/>
                <w:szCs w:val="20"/>
              </w:rPr>
              <w:t>Electrical contractors and other wiring installation contractors</w:t>
            </w:r>
          </w:p>
        </w:tc>
        <w:tc>
          <w:tcPr>
            <w:tcW w:w="1335" w:type="dxa"/>
            <w:shd w:val="clear" w:color="auto" w:fill="auto"/>
            <w:vAlign w:val="center"/>
          </w:tcPr>
          <w:p w14:paraId="25F67A50" w14:textId="4307D27C" w:rsidR="006227D7" w:rsidRPr="00864257" w:rsidRDefault="006227D7" w:rsidP="006227D7">
            <w:pPr>
              <w:spacing w:after="0"/>
              <w:jc w:val="right"/>
              <w:rPr>
                <w:rFonts w:eastAsia="Times New Roman" w:cstheme="minorHAnsi"/>
                <w:sz w:val="20"/>
                <w:szCs w:val="20"/>
                <w:highlight w:val="yellow"/>
              </w:rPr>
            </w:pPr>
            <w:r>
              <w:rPr>
                <w:rFonts w:ascii="Calibri" w:hAnsi="Calibri" w:cs="Calibri"/>
                <w:color w:val="000000"/>
                <w:sz w:val="20"/>
                <w:szCs w:val="20"/>
              </w:rPr>
              <w:t>$2,220,379</w:t>
            </w:r>
          </w:p>
        </w:tc>
        <w:tc>
          <w:tcPr>
            <w:tcW w:w="1635" w:type="dxa"/>
            <w:shd w:val="clear" w:color="auto" w:fill="auto"/>
            <w:vAlign w:val="center"/>
          </w:tcPr>
          <w:p w14:paraId="7BBF083B" w14:textId="1E22B5D1" w:rsidR="006227D7" w:rsidRPr="00864257" w:rsidRDefault="006227D7" w:rsidP="006227D7">
            <w:pPr>
              <w:spacing w:after="0"/>
              <w:jc w:val="center"/>
              <w:rPr>
                <w:rFonts w:eastAsia="Times New Roman" w:cstheme="minorHAnsi"/>
                <w:sz w:val="20"/>
                <w:szCs w:val="20"/>
                <w:highlight w:val="yellow"/>
              </w:rPr>
            </w:pPr>
            <w:r>
              <w:rPr>
                <w:rFonts w:ascii="Calibri" w:hAnsi="Calibri" w:cs="Calibri"/>
                <w:color w:val="000000"/>
                <w:sz w:val="20"/>
                <w:szCs w:val="20"/>
              </w:rPr>
              <w:t>15.8%</w:t>
            </w:r>
          </w:p>
        </w:tc>
      </w:tr>
      <w:tr w:rsidR="006227D7" w:rsidRPr="00694F90" w14:paraId="54A72233" w14:textId="77777777" w:rsidTr="00625325">
        <w:trPr>
          <w:trHeight w:val="70"/>
        </w:trPr>
        <w:tc>
          <w:tcPr>
            <w:tcW w:w="1165" w:type="dxa"/>
            <w:shd w:val="clear" w:color="auto" w:fill="auto"/>
            <w:noWrap/>
            <w:vAlign w:val="center"/>
          </w:tcPr>
          <w:p w14:paraId="578ADD11" w14:textId="34A5D371" w:rsidR="006227D7" w:rsidRPr="00864257" w:rsidRDefault="006227D7" w:rsidP="006227D7">
            <w:pPr>
              <w:spacing w:after="0"/>
              <w:jc w:val="center"/>
              <w:rPr>
                <w:rFonts w:eastAsia="Times New Roman" w:cstheme="minorHAnsi"/>
                <w:color w:val="000000"/>
                <w:sz w:val="20"/>
                <w:szCs w:val="20"/>
                <w:highlight w:val="yellow"/>
              </w:rPr>
            </w:pPr>
            <w:r>
              <w:rPr>
                <w:rFonts w:ascii="Calibri" w:hAnsi="Calibri" w:cs="Calibri"/>
                <w:color w:val="000000"/>
                <w:sz w:val="20"/>
                <w:szCs w:val="20"/>
              </w:rPr>
              <w:t>238910</w:t>
            </w:r>
          </w:p>
        </w:tc>
        <w:tc>
          <w:tcPr>
            <w:tcW w:w="5917" w:type="dxa"/>
            <w:shd w:val="clear" w:color="auto" w:fill="auto"/>
            <w:vAlign w:val="center"/>
          </w:tcPr>
          <w:p w14:paraId="054FA773" w14:textId="58AD5896" w:rsidR="006227D7" w:rsidRPr="00864257" w:rsidRDefault="006227D7" w:rsidP="006227D7">
            <w:pPr>
              <w:spacing w:after="0"/>
              <w:rPr>
                <w:rFonts w:eastAsia="Times New Roman" w:cstheme="minorHAnsi"/>
                <w:color w:val="000000"/>
                <w:sz w:val="20"/>
                <w:szCs w:val="20"/>
                <w:highlight w:val="yellow"/>
              </w:rPr>
            </w:pPr>
            <w:r>
              <w:rPr>
                <w:rFonts w:ascii="Calibri" w:hAnsi="Calibri" w:cs="Calibri"/>
                <w:color w:val="000000"/>
                <w:sz w:val="20"/>
                <w:szCs w:val="20"/>
              </w:rPr>
              <w:t>Site preparation contractors</w:t>
            </w:r>
          </w:p>
        </w:tc>
        <w:tc>
          <w:tcPr>
            <w:tcW w:w="1335" w:type="dxa"/>
            <w:shd w:val="clear" w:color="auto" w:fill="auto"/>
            <w:vAlign w:val="center"/>
          </w:tcPr>
          <w:p w14:paraId="5BD7AB2F" w14:textId="0D2C57B9" w:rsidR="006227D7" w:rsidRPr="00864257" w:rsidRDefault="006227D7" w:rsidP="006227D7">
            <w:pPr>
              <w:spacing w:after="0"/>
              <w:jc w:val="right"/>
              <w:rPr>
                <w:rFonts w:eastAsia="Times New Roman" w:cstheme="minorHAnsi"/>
                <w:sz w:val="20"/>
                <w:szCs w:val="20"/>
                <w:highlight w:val="yellow"/>
              </w:rPr>
            </w:pPr>
            <w:r>
              <w:rPr>
                <w:rFonts w:ascii="Calibri" w:hAnsi="Calibri" w:cs="Calibri"/>
                <w:color w:val="000000"/>
                <w:sz w:val="20"/>
                <w:szCs w:val="20"/>
              </w:rPr>
              <w:t>$203,313</w:t>
            </w:r>
          </w:p>
        </w:tc>
        <w:tc>
          <w:tcPr>
            <w:tcW w:w="1635" w:type="dxa"/>
            <w:shd w:val="clear" w:color="auto" w:fill="auto"/>
            <w:vAlign w:val="center"/>
          </w:tcPr>
          <w:p w14:paraId="7BCF240E" w14:textId="792E16E4" w:rsidR="006227D7" w:rsidRPr="00864257" w:rsidRDefault="006227D7" w:rsidP="006227D7">
            <w:pPr>
              <w:spacing w:after="0"/>
              <w:jc w:val="center"/>
              <w:rPr>
                <w:rFonts w:eastAsia="Times New Roman" w:cstheme="minorHAnsi"/>
                <w:sz w:val="20"/>
                <w:szCs w:val="20"/>
                <w:highlight w:val="yellow"/>
              </w:rPr>
            </w:pPr>
            <w:r>
              <w:rPr>
                <w:rFonts w:ascii="Calibri" w:hAnsi="Calibri" w:cs="Calibri"/>
                <w:color w:val="000000"/>
                <w:sz w:val="20"/>
                <w:szCs w:val="20"/>
              </w:rPr>
              <w:t>1.4%</w:t>
            </w:r>
          </w:p>
        </w:tc>
      </w:tr>
      <w:tr w:rsidR="006227D7" w:rsidRPr="00694F90" w14:paraId="3F3163BB" w14:textId="77777777" w:rsidTr="00625325">
        <w:trPr>
          <w:trHeight w:val="70"/>
        </w:trPr>
        <w:tc>
          <w:tcPr>
            <w:tcW w:w="1165" w:type="dxa"/>
            <w:shd w:val="clear" w:color="auto" w:fill="auto"/>
            <w:noWrap/>
            <w:vAlign w:val="center"/>
          </w:tcPr>
          <w:p w14:paraId="2AD7D4C5" w14:textId="78311BFD" w:rsidR="006227D7" w:rsidRPr="00864257" w:rsidRDefault="006227D7" w:rsidP="006227D7">
            <w:pPr>
              <w:spacing w:after="0"/>
              <w:jc w:val="center"/>
              <w:rPr>
                <w:rFonts w:eastAsia="Times New Roman" w:cstheme="minorHAnsi"/>
                <w:color w:val="000000"/>
                <w:sz w:val="20"/>
                <w:szCs w:val="20"/>
                <w:highlight w:val="yellow"/>
              </w:rPr>
            </w:pPr>
            <w:r>
              <w:rPr>
                <w:rFonts w:ascii="Calibri" w:hAnsi="Calibri" w:cs="Calibri"/>
                <w:color w:val="000000"/>
                <w:sz w:val="20"/>
                <w:szCs w:val="20"/>
              </w:rPr>
              <w:t>238990</w:t>
            </w:r>
          </w:p>
        </w:tc>
        <w:tc>
          <w:tcPr>
            <w:tcW w:w="5917" w:type="dxa"/>
            <w:shd w:val="clear" w:color="auto" w:fill="auto"/>
            <w:vAlign w:val="center"/>
          </w:tcPr>
          <w:p w14:paraId="350A6607" w14:textId="0F0BC029" w:rsidR="006227D7" w:rsidRPr="00864257" w:rsidRDefault="006227D7" w:rsidP="006227D7">
            <w:pPr>
              <w:spacing w:after="0"/>
              <w:rPr>
                <w:rFonts w:eastAsia="Times New Roman" w:cstheme="minorHAnsi"/>
                <w:color w:val="000000"/>
                <w:sz w:val="20"/>
                <w:szCs w:val="20"/>
                <w:highlight w:val="yellow"/>
              </w:rPr>
            </w:pPr>
            <w:r>
              <w:rPr>
                <w:rFonts w:ascii="Calibri" w:hAnsi="Calibri" w:cs="Calibri"/>
                <w:color w:val="000000"/>
                <w:sz w:val="20"/>
                <w:szCs w:val="20"/>
              </w:rPr>
              <w:t>All other specialty trade contractors</w:t>
            </w:r>
          </w:p>
        </w:tc>
        <w:tc>
          <w:tcPr>
            <w:tcW w:w="1335" w:type="dxa"/>
            <w:shd w:val="clear" w:color="auto" w:fill="auto"/>
            <w:vAlign w:val="center"/>
          </w:tcPr>
          <w:p w14:paraId="6AF8F9ED" w14:textId="50D79320" w:rsidR="006227D7" w:rsidRPr="00864257" w:rsidRDefault="006227D7" w:rsidP="006227D7">
            <w:pPr>
              <w:spacing w:after="0"/>
              <w:jc w:val="right"/>
              <w:rPr>
                <w:rFonts w:eastAsia="Times New Roman" w:cstheme="minorHAnsi"/>
                <w:sz w:val="20"/>
                <w:szCs w:val="20"/>
                <w:highlight w:val="yellow"/>
              </w:rPr>
            </w:pPr>
            <w:r>
              <w:rPr>
                <w:rFonts w:ascii="Calibri" w:hAnsi="Calibri" w:cs="Calibri"/>
                <w:color w:val="000000"/>
                <w:sz w:val="20"/>
                <w:szCs w:val="20"/>
              </w:rPr>
              <w:t>$3,049,692</w:t>
            </w:r>
          </w:p>
        </w:tc>
        <w:tc>
          <w:tcPr>
            <w:tcW w:w="1635" w:type="dxa"/>
            <w:shd w:val="clear" w:color="auto" w:fill="auto"/>
            <w:vAlign w:val="center"/>
          </w:tcPr>
          <w:p w14:paraId="6C98DBB3" w14:textId="79340F3C" w:rsidR="006227D7" w:rsidRPr="00864257" w:rsidRDefault="006227D7" w:rsidP="006227D7">
            <w:pPr>
              <w:spacing w:after="0"/>
              <w:jc w:val="center"/>
              <w:rPr>
                <w:rFonts w:eastAsia="Times New Roman" w:cstheme="minorHAnsi"/>
                <w:sz w:val="20"/>
                <w:szCs w:val="20"/>
                <w:highlight w:val="yellow"/>
              </w:rPr>
            </w:pPr>
            <w:r>
              <w:rPr>
                <w:rFonts w:ascii="Calibri" w:hAnsi="Calibri" w:cs="Calibri"/>
                <w:color w:val="000000"/>
                <w:sz w:val="20"/>
                <w:szCs w:val="20"/>
              </w:rPr>
              <w:t>21.7%</w:t>
            </w:r>
          </w:p>
        </w:tc>
      </w:tr>
      <w:tr w:rsidR="006227D7" w:rsidRPr="00694F90" w14:paraId="0FF22AFF" w14:textId="77777777" w:rsidTr="00625325">
        <w:trPr>
          <w:trHeight w:val="70"/>
        </w:trPr>
        <w:tc>
          <w:tcPr>
            <w:tcW w:w="1165" w:type="dxa"/>
            <w:shd w:val="clear" w:color="auto" w:fill="auto"/>
            <w:noWrap/>
            <w:vAlign w:val="center"/>
          </w:tcPr>
          <w:p w14:paraId="64CBC098" w14:textId="5D395E1E" w:rsidR="006227D7" w:rsidRPr="00864257" w:rsidRDefault="006227D7" w:rsidP="006227D7">
            <w:pPr>
              <w:spacing w:after="0"/>
              <w:jc w:val="center"/>
              <w:rPr>
                <w:rFonts w:eastAsia="Times New Roman" w:cstheme="minorHAnsi"/>
                <w:color w:val="000000"/>
                <w:sz w:val="20"/>
                <w:szCs w:val="20"/>
                <w:highlight w:val="yellow"/>
              </w:rPr>
            </w:pPr>
            <w:r>
              <w:rPr>
                <w:rFonts w:ascii="Calibri" w:hAnsi="Calibri" w:cs="Calibri"/>
                <w:color w:val="000000"/>
                <w:sz w:val="20"/>
                <w:szCs w:val="20"/>
              </w:rPr>
              <w:t>333923</w:t>
            </w:r>
          </w:p>
        </w:tc>
        <w:tc>
          <w:tcPr>
            <w:tcW w:w="5917" w:type="dxa"/>
            <w:shd w:val="clear" w:color="auto" w:fill="auto"/>
            <w:vAlign w:val="center"/>
          </w:tcPr>
          <w:p w14:paraId="77A861E1" w14:textId="7CDC7F55" w:rsidR="006227D7" w:rsidRPr="00864257" w:rsidRDefault="006227D7" w:rsidP="006227D7">
            <w:pPr>
              <w:spacing w:after="0"/>
              <w:rPr>
                <w:rFonts w:eastAsia="Times New Roman" w:cstheme="minorHAnsi"/>
                <w:color w:val="000000"/>
                <w:sz w:val="20"/>
                <w:szCs w:val="20"/>
                <w:highlight w:val="yellow"/>
              </w:rPr>
            </w:pPr>
            <w:r>
              <w:rPr>
                <w:rFonts w:ascii="Calibri" w:hAnsi="Calibri" w:cs="Calibri"/>
                <w:color w:val="000000"/>
                <w:sz w:val="20"/>
                <w:szCs w:val="20"/>
              </w:rPr>
              <w:t>Overhead traveling crane, hoist, and monorail system manufacturing</w:t>
            </w:r>
          </w:p>
        </w:tc>
        <w:tc>
          <w:tcPr>
            <w:tcW w:w="1335" w:type="dxa"/>
            <w:shd w:val="clear" w:color="auto" w:fill="auto"/>
            <w:vAlign w:val="center"/>
          </w:tcPr>
          <w:p w14:paraId="11BFECB4" w14:textId="320DE94C" w:rsidR="006227D7" w:rsidRPr="00864257" w:rsidRDefault="006227D7" w:rsidP="006227D7">
            <w:pPr>
              <w:spacing w:after="0"/>
              <w:jc w:val="right"/>
              <w:rPr>
                <w:rFonts w:eastAsia="Times New Roman" w:cstheme="minorHAnsi"/>
                <w:sz w:val="20"/>
                <w:szCs w:val="20"/>
                <w:highlight w:val="yellow"/>
              </w:rPr>
            </w:pPr>
            <w:r>
              <w:rPr>
                <w:rFonts w:ascii="Calibri" w:hAnsi="Calibri" w:cs="Calibri"/>
                <w:color w:val="000000"/>
                <w:sz w:val="20"/>
                <w:szCs w:val="20"/>
              </w:rPr>
              <w:t>$304,969</w:t>
            </w:r>
          </w:p>
        </w:tc>
        <w:tc>
          <w:tcPr>
            <w:tcW w:w="1635" w:type="dxa"/>
            <w:shd w:val="clear" w:color="auto" w:fill="auto"/>
            <w:vAlign w:val="center"/>
          </w:tcPr>
          <w:p w14:paraId="0AE86187" w14:textId="5ABBE78B" w:rsidR="006227D7" w:rsidRPr="00864257" w:rsidRDefault="006227D7" w:rsidP="006227D7">
            <w:pPr>
              <w:spacing w:after="0"/>
              <w:jc w:val="center"/>
              <w:rPr>
                <w:rFonts w:eastAsia="Times New Roman" w:cstheme="minorHAnsi"/>
                <w:sz w:val="20"/>
                <w:szCs w:val="20"/>
                <w:highlight w:val="yellow"/>
              </w:rPr>
            </w:pPr>
            <w:r>
              <w:rPr>
                <w:rFonts w:ascii="Calibri" w:hAnsi="Calibri" w:cs="Calibri"/>
                <w:color w:val="000000"/>
                <w:sz w:val="20"/>
                <w:szCs w:val="20"/>
              </w:rPr>
              <w:t>2.2%</w:t>
            </w:r>
          </w:p>
        </w:tc>
      </w:tr>
      <w:tr w:rsidR="006227D7" w:rsidRPr="00694F90" w14:paraId="571E16CA" w14:textId="77777777" w:rsidTr="00625325">
        <w:trPr>
          <w:trHeight w:val="70"/>
        </w:trPr>
        <w:tc>
          <w:tcPr>
            <w:tcW w:w="1165" w:type="dxa"/>
            <w:shd w:val="clear" w:color="auto" w:fill="auto"/>
            <w:noWrap/>
            <w:vAlign w:val="center"/>
          </w:tcPr>
          <w:p w14:paraId="58683FE4" w14:textId="75AE9EA7" w:rsidR="006227D7" w:rsidRPr="00864257" w:rsidRDefault="006227D7" w:rsidP="006227D7">
            <w:pPr>
              <w:spacing w:after="0"/>
              <w:jc w:val="center"/>
              <w:rPr>
                <w:rFonts w:eastAsia="Times New Roman" w:cstheme="minorHAnsi"/>
                <w:color w:val="000000"/>
                <w:sz w:val="20"/>
                <w:szCs w:val="20"/>
                <w:highlight w:val="yellow"/>
              </w:rPr>
            </w:pPr>
            <w:r>
              <w:rPr>
                <w:rFonts w:ascii="Calibri" w:hAnsi="Calibri" w:cs="Calibri"/>
                <w:color w:val="000000"/>
                <w:sz w:val="20"/>
                <w:szCs w:val="20"/>
              </w:rPr>
              <w:t>541330</w:t>
            </w:r>
          </w:p>
        </w:tc>
        <w:tc>
          <w:tcPr>
            <w:tcW w:w="5917" w:type="dxa"/>
            <w:shd w:val="clear" w:color="auto" w:fill="auto"/>
            <w:vAlign w:val="center"/>
          </w:tcPr>
          <w:p w14:paraId="32680411" w14:textId="470960BB" w:rsidR="006227D7" w:rsidRPr="00864257" w:rsidRDefault="006227D7" w:rsidP="006227D7">
            <w:pPr>
              <w:spacing w:after="0"/>
              <w:rPr>
                <w:rFonts w:eastAsia="Times New Roman" w:cstheme="minorHAnsi"/>
                <w:color w:val="000000"/>
                <w:sz w:val="20"/>
                <w:szCs w:val="20"/>
                <w:highlight w:val="yellow"/>
              </w:rPr>
            </w:pPr>
            <w:r>
              <w:rPr>
                <w:rFonts w:ascii="Calibri" w:hAnsi="Calibri" w:cs="Calibri"/>
                <w:color w:val="000000"/>
                <w:sz w:val="20"/>
                <w:szCs w:val="20"/>
              </w:rPr>
              <w:t>Engineering services</w:t>
            </w:r>
          </w:p>
        </w:tc>
        <w:tc>
          <w:tcPr>
            <w:tcW w:w="1335" w:type="dxa"/>
            <w:shd w:val="clear" w:color="auto" w:fill="auto"/>
            <w:vAlign w:val="center"/>
          </w:tcPr>
          <w:p w14:paraId="5B70CBC7" w14:textId="4DD0CDB5" w:rsidR="006227D7" w:rsidRPr="00864257" w:rsidRDefault="006227D7" w:rsidP="006227D7">
            <w:pPr>
              <w:spacing w:after="0"/>
              <w:jc w:val="right"/>
              <w:rPr>
                <w:rFonts w:eastAsia="Times New Roman" w:cstheme="minorHAnsi"/>
                <w:sz w:val="20"/>
                <w:szCs w:val="20"/>
                <w:highlight w:val="yellow"/>
              </w:rPr>
            </w:pPr>
            <w:r>
              <w:rPr>
                <w:rFonts w:ascii="Calibri" w:hAnsi="Calibri" w:cs="Calibri"/>
                <w:color w:val="000000"/>
                <w:sz w:val="20"/>
                <w:szCs w:val="20"/>
              </w:rPr>
              <w:t>$1,844,751</w:t>
            </w:r>
          </w:p>
        </w:tc>
        <w:tc>
          <w:tcPr>
            <w:tcW w:w="1635" w:type="dxa"/>
            <w:shd w:val="clear" w:color="auto" w:fill="auto"/>
            <w:vAlign w:val="center"/>
          </w:tcPr>
          <w:p w14:paraId="114675B3" w14:textId="5E70888C" w:rsidR="006227D7" w:rsidRPr="00864257" w:rsidRDefault="006227D7" w:rsidP="006227D7">
            <w:pPr>
              <w:spacing w:after="0"/>
              <w:jc w:val="center"/>
              <w:rPr>
                <w:rFonts w:eastAsia="Times New Roman" w:cstheme="minorHAnsi"/>
                <w:sz w:val="20"/>
                <w:szCs w:val="20"/>
                <w:highlight w:val="yellow"/>
              </w:rPr>
            </w:pPr>
            <w:r>
              <w:rPr>
                <w:rFonts w:ascii="Calibri" w:hAnsi="Calibri" w:cs="Calibri"/>
                <w:color w:val="000000"/>
                <w:sz w:val="20"/>
                <w:szCs w:val="20"/>
              </w:rPr>
              <w:t>13.1%</w:t>
            </w:r>
          </w:p>
        </w:tc>
      </w:tr>
      <w:tr w:rsidR="006227D7" w:rsidRPr="00694F90" w14:paraId="1DD6F459" w14:textId="77777777" w:rsidTr="00625325">
        <w:trPr>
          <w:trHeight w:val="70"/>
        </w:trPr>
        <w:tc>
          <w:tcPr>
            <w:tcW w:w="1165" w:type="dxa"/>
            <w:shd w:val="clear" w:color="auto" w:fill="auto"/>
            <w:noWrap/>
            <w:vAlign w:val="center"/>
          </w:tcPr>
          <w:p w14:paraId="385D1727" w14:textId="1E333D00" w:rsidR="006227D7" w:rsidRPr="00864257" w:rsidRDefault="006227D7" w:rsidP="006227D7">
            <w:pPr>
              <w:spacing w:after="0"/>
              <w:jc w:val="center"/>
              <w:rPr>
                <w:rFonts w:eastAsia="Times New Roman" w:cstheme="minorHAnsi"/>
                <w:color w:val="000000"/>
                <w:sz w:val="20"/>
                <w:szCs w:val="20"/>
                <w:highlight w:val="yellow"/>
              </w:rPr>
            </w:pPr>
            <w:r>
              <w:rPr>
                <w:rFonts w:ascii="Calibri" w:hAnsi="Calibri" w:cs="Calibri"/>
                <w:color w:val="000000"/>
                <w:sz w:val="20"/>
                <w:szCs w:val="20"/>
              </w:rPr>
              <w:t>561730</w:t>
            </w:r>
          </w:p>
        </w:tc>
        <w:tc>
          <w:tcPr>
            <w:tcW w:w="5917" w:type="dxa"/>
            <w:shd w:val="clear" w:color="auto" w:fill="auto"/>
            <w:vAlign w:val="center"/>
          </w:tcPr>
          <w:p w14:paraId="664E0FDA" w14:textId="2EB7F02F" w:rsidR="006227D7" w:rsidRPr="00864257" w:rsidRDefault="006227D7" w:rsidP="006227D7">
            <w:pPr>
              <w:spacing w:after="0"/>
              <w:rPr>
                <w:rFonts w:eastAsia="Times New Roman" w:cstheme="minorHAnsi"/>
                <w:color w:val="000000"/>
                <w:sz w:val="20"/>
                <w:szCs w:val="20"/>
                <w:highlight w:val="yellow"/>
              </w:rPr>
            </w:pPr>
            <w:r>
              <w:rPr>
                <w:rFonts w:ascii="Calibri" w:hAnsi="Calibri" w:cs="Calibri"/>
                <w:color w:val="000000"/>
                <w:sz w:val="20"/>
                <w:szCs w:val="20"/>
              </w:rPr>
              <w:t>Landscaping services</w:t>
            </w:r>
          </w:p>
        </w:tc>
        <w:tc>
          <w:tcPr>
            <w:tcW w:w="1335" w:type="dxa"/>
            <w:shd w:val="clear" w:color="auto" w:fill="auto"/>
            <w:vAlign w:val="center"/>
          </w:tcPr>
          <w:p w14:paraId="5BC3127C" w14:textId="618603FA" w:rsidR="006227D7" w:rsidRPr="00864257" w:rsidRDefault="006227D7" w:rsidP="006227D7">
            <w:pPr>
              <w:spacing w:after="0"/>
              <w:jc w:val="right"/>
              <w:rPr>
                <w:rFonts w:eastAsia="Times New Roman" w:cstheme="minorHAnsi"/>
                <w:sz w:val="20"/>
                <w:szCs w:val="20"/>
                <w:highlight w:val="yellow"/>
              </w:rPr>
            </w:pPr>
            <w:r>
              <w:rPr>
                <w:rFonts w:ascii="Calibri" w:hAnsi="Calibri" w:cs="Calibri"/>
                <w:color w:val="000000"/>
                <w:sz w:val="20"/>
                <w:szCs w:val="20"/>
              </w:rPr>
              <w:t>$5,083</w:t>
            </w:r>
          </w:p>
        </w:tc>
        <w:tc>
          <w:tcPr>
            <w:tcW w:w="1635" w:type="dxa"/>
            <w:shd w:val="clear" w:color="auto" w:fill="auto"/>
            <w:vAlign w:val="center"/>
          </w:tcPr>
          <w:p w14:paraId="65A8F54A" w14:textId="6D5383E8" w:rsidR="006227D7" w:rsidRPr="00864257" w:rsidRDefault="006227D7" w:rsidP="006227D7">
            <w:pPr>
              <w:spacing w:after="0"/>
              <w:jc w:val="center"/>
              <w:rPr>
                <w:rFonts w:eastAsia="Times New Roman" w:cstheme="minorHAnsi"/>
                <w:sz w:val="20"/>
                <w:szCs w:val="20"/>
                <w:highlight w:val="yellow"/>
              </w:rPr>
            </w:pPr>
            <w:r>
              <w:rPr>
                <w:rFonts w:ascii="Calibri" w:hAnsi="Calibri" w:cs="Calibri"/>
                <w:color w:val="000000"/>
                <w:sz w:val="20"/>
                <w:szCs w:val="20"/>
              </w:rPr>
              <w:t>0.0%</w:t>
            </w:r>
          </w:p>
        </w:tc>
      </w:tr>
      <w:tr w:rsidR="00DC324A" w:rsidRPr="00694F90" w14:paraId="288BF05B" w14:textId="77777777" w:rsidTr="00625325">
        <w:trPr>
          <w:trHeight w:val="70"/>
        </w:trPr>
        <w:tc>
          <w:tcPr>
            <w:tcW w:w="1165" w:type="dxa"/>
            <w:shd w:val="clear" w:color="auto" w:fill="444444" w:themeFill="text1"/>
            <w:noWrap/>
            <w:vAlign w:val="bottom"/>
            <w:hideMark/>
          </w:tcPr>
          <w:p w14:paraId="72B09F95" w14:textId="77777777" w:rsidR="00DC324A" w:rsidRPr="00694F90" w:rsidRDefault="00DC324A" w:rsidP="001C440D">
            <w:pPr>
              <w:spacing w:after="0"/>
              <w:jc w:val="center"/>
              <w:rPr>
                <w:rFonts w:eastAsia="Times New Roman" w:cstheme="minorHAnsi"/>
                <w:b/>
                <w:bCs/>
                <w:color w:val="FFFFFF" w:themeColor="background1"/>
                <w:sz w:val="20"/>
                <w:szCs w:val="20"/>
                <w:highlight w:val="yellow"/>
              </w:rPr>
            </w:pPr>
          </w:p>
        </w:tc>
        <w:tc>
          <w:tcPr>
            <w:tcW w:w="5917" w:type="dxa"/>
            <w:shd w:val="clear" w:color="auto" w:fill="444444" w:themeFill="text1"/>
            <w:hideMark/>
          </w:tcPr>
          <w:p w14:paraId="7CE7130F" w14:textId="77777777" w:rsidR="00DC324A" w:rsidRPr="00694F90" w:rsidRDefault="00DC324A" w:rsidP="001C440D">
            <w:pPr>
              <w:spacing w:after="0"/>
              <w:jc w:val="center"/>
              <w:rPr>
                <w:rFonts w:eastAsia="Times New Roman" w:cstheme="minorHAnsi"/>
                <w:b/>
                <w:bCs/>
                <w:color w:val="FFFFFF" w:themeColor="background1"/>
                <w:sz w:val="20"/>
                <w:szCs w:val="20"/>
                <w:highlight w:val="yellow"/>
              </w:rPr>
            </w:pPr>
          </w:p>
        </w:tc>
        <w:tc>
          <w:tcPr>
            <w:tcW w:w="1335" w:type="dxa"/>
            <w:shd w:val="clear" w:color="auto" w:fill="444444" w:themeFill="text1"/>
            <w:hideMark/>
          </w:tcPr>
          <w:p w14:paraId="47D31112" w14:textId="79088BB4" w:rsidR="00DC324A" w:rsidRPr="00DC324A" w:rsidRDefault="00DC324A" w:rsidP="001C440D">
            <w:pPr>
              <w:spacing w:after="0"/>
              <w:jc w:val="right"/>
              <w:rPr>
                <w:rFonts w:eastAsia="Times New Roman" w:cstheme="minorHAnsi"/>
                <w:b/>
                <w:bCs/>
                <w:color w:val="FFFFFF" w:themeColor="background1"/>
                <w:sz w:val="20"/>
                <w:szCs w:val="20"/>
              </w:rPr>
            </w:pPr>
            <w:r w:rsidRPr="00DC324A">
              <w:rPr>
                <w:b/>
                <w:bCs/>
                <w:color w:val="FFFFFF" w:themeColor="background1"/>
                <w:sz w:val="20"/>
                <w:szCs w:val="20"/>
              </w:rPr>
              <w:t>$</w:t>
            </w:r>
            <w:r w:rsidR="006227D7">
              <w:rPr>
                <w:b/>
                <w:bCs/>
                <w:color w:val="FFFFFF" w:themeColor="background1"/>
                <w:sz w:val="20"/>
                <w:szCs w:val="20"/>
              </w:rPr>
              <w:t>14</w:t>
            </w:r>
            <w:r w:rsidRPr="00DC324A">
              <w:rPr>
                <w:b/>
                <w:bCs/>
                <w:color w:val="FFFFFF" w:themeColor="background1"/>
                <w:sz w:val="20"/>
                <w:szCs w:val="20"/>
              </w:rPr>
              <w:t>,</w:t>
            </w:r>
            <w:r w:rsidR="006227D7">
              <w:rPr>
                <w:b/>
                <w:bCs/>
                <w:color w:val="FFFFFF" w:themeColor="background1"/>
                <w:sz w:val="20"/>
                <w:szCs w:val="20"/>
              </w:rPr>
              <w:t>060</w:t>
            </w:r>
            <w:r w:rsidRPr="00DC324A">
              <w:rPr>
                <w:b/>
                <w:bCs/>
                <w:color w:val="FFFFFF" w:themeColor="background1"/>
                <w:sz w:val="20"/>
                <w:szCs w:val="20"/>
              </w:rPr>
              <w:t>,</w:t>
            </w:r>
            <w:r w:rsidR="006227D7">
              <w:rPr>
                <w:b/>
                <w:bCs/>
                <w:color w:val="FFFFFF" w:themeColor="background1"/>
                <w:sz w:val="20"/>
                <w:szCs w:val="20"/>
              </w:rPr>
              <w:t>000</w:t>
            </w:r>
          </w:p>
        </w:tc>
        <w:tc>
          <w:tcPr>
            <w:tcW w:w="1635" w:type="dxa"/>
            <w:shd w:val="clear" w:color="auto" w:fill="444444" w:themeFill="text1"/>
            <w:hideMark/>
          </w:tcPr>
          <w:p w14:paraId="0742CBAA" w14:textId="77777777" w:rsidR="00DC324A" w:rsidRPr="00DC324A" w:rsidRDefault="00DC324A" w:rsidP="001C440D">
            <w:pPr>
              <w:spacing w:after="0"/>
              <w:jc w:val="center"/>
              <w:rPr>
                <w:rFonts w:eastAsia="Times New Roman" w:cstheme="minorHAnsi"/>
                <w:b/>
                <w:bCs/>
                <w:color w:val="FFFFFF" w:themeColor="background1"/>
                <w:sz w:val="20"/>
                <w:szCs w:val="20"/>
              </w:rPr>
            </w:pPr>
            <w:r w:rsidRPr="00DC324A">
              <w:rPr>
                <w:b/>
                <w:bCs/>
                <w:color w:val="FFFFFF" w:themeColor="background1"/>
                <w:sz w:val="20"/>
                <w:szCs w:val="20"/>
              </w:rPr>
              <w:t>100.0%</w:t>
            </w:r>
          </w:p>
        </w:tc>
      </w:tr>
    </w:tbl>
    <w:p w14:paraId="5B6B7F33" w14:textId="77777777" w:rsidR="00625325" w:rsidRDefault="00625325" w:rsidP="001C440D">
      <w:pPr>
        <w:tabs>
          <w:tab w:val="left" w:pos="1278"/>
          <w:tab w:val="left" w:pos="7195"/>
          <w:tab w:val="left" w:pos="8530"/>
        </w:tabs>
        <w:spacing w:after="0"/>
        <w:ind w:left="113"/>
        <w:rPr>
          <w:rFonts w:eastAsia="Times New Roman" w:cstheme="minorHAnsi"/>
          <w:b/>
          <w:bCs/>
          <w:color w:val="FFFFFF" w:themeColor="background1"/>
          <w:sz w:val="20"/>
          <w:szCs w:val="20"/>
        </w:rPr>
      </w:pPr>
      <w:r w:rsidRPr="00625325">
        <w:rPr>
          <w:rFonts w:eastAsia="Times New Roman" w:cstheme="minorHAnsi"/>
          <w:b/>
          <w:bCs/>
          <w:color w:val="FFFFFF" w:themeColor="background1"/>
          <w:sz w:val="20"/>
          <w:szCs w:val="20"/>
        </w:rPr>
        <w:tab/>
      </w:r>
    </w:p>
    <w:p w14:paraId="624D7A9A" w14:textId="77777777" w:rsidR="00625325" w:rsidRDefault="00625325" w:rsidP="001C440D">
      <w:pPr>
        <w:tabs>
          <w:tab w:val="left" w:pos="1278"/>
          <w:tab w:val="left" w:pos="7195"/>
          <w:tab w:val="left" w:pos="8530"/>
        </w:tabs>
        <w:spacing w:after="0"/>
        <w:ind w:left="113"/>
        <w:rPr>
          <w:rFonts w:eastAsia="Times New Roman" w:cstheme="minorHAnsi"/>
          <w:b/>
          <w:bCs/>
          <w:color w:val="FFFFFF" w:themeColor="background1"/>
          <w:sz w:val="20"/>
          <w:szCs w:val="20"/>
        </w:rPr>
      </w:pPr>
    </w:p>
    <w:p w14:paraId="372F9275" w14:textId="77777777" w:rsidR="00625325" w:rsidRDefault="00625325" w:rsidP="001C440D">
      <w:pPr>
        <w:tabs>
          <w:tab w:val="left" w:pos="1278"/>
          <w:tab w:val="left" w:pos="7195"/>
          <w:tab w:val="left" w:pos="8530"/>
        </w:tabs>
        <w:spacing w:after="0"/>
        <w:ind w:left="113"/>
        <w:rPr>
          <w:rFonts w:eastAsia="Times New Roman" w:cstheme="minorHAnsi"/>
          <w:b/>
          <w:bCs/>
          <w:color w:val="FFFFFF" w:themeColor="background1"/>
          <w:sz w:val="20"/>
          <w:szCs w:val="20"/>
        </w:rPr>
      </w:pPr>
    </w:p>
    <w:p w14:paraId="554406A3" w14:textId="77777777" w:rsidR="00625325" w:rsidRDefault="00625325" w:rsidP="001C440D">
      <w:pPr>
        <w:tabs>
          <w:tab w:val="left" w:pos="1278"/>
          <w:tab w:val="left" w:pos="7195"/>
          <w:tab w:val="left" w:pos="8530"/>
        </w:tabs>
        <w:spacing w:after="0"/>
        <w:ind w:left="113"/>
        <w:rPr>
          <w:rFonts w:eastAsia="Times New Roman" w:cstheme="minorHAnsi"/>
          <w:b/>
          <w:bCs/>
          <w:color w:val="FFFFFF" w:themeColor="background1"/>
          <w:sz w:val="20"/>
          <w:szCs w:val="20"/>
        </w:rPr>
      </w:pPr>
    </w:p>
    <w:p w14:paraId="382A5B4E" w14:textId="37125497" w:rsidR="00625325" w:rsidRPr="00DC324A" w:rsidRDefault="00625325" w:rsidP="001C440D">
      <w:pPr>
        <w:tabs>
          <w:tab w:val="left" w:pos="1278"/>
          <w:tab w:val="left" w:pos="7195"/>
          <w:tab w:val="left" w:pos="8530"/>
        </w:tabs>
        <w:spacing w:after="0"/>
        <w:ind w:left="113"/>
        <w:rPr>
          <w:b/>
          <w:bCs/>
          <w:color w:val="FFFFFF" w:themeColor="background1"/>
          <w:sz w:val="20"/>
          <w:szCs w:val="20"/>
        </w:rPr>
      </w:pPr>
      <w:r w:rsidRPr="00625325">
        <w:rPr>
          <w:rFonts w:eastAsia="Times New Roman" w:cstheme="minorHAnsi"/>
          <w:b/>
          <w:bCs/>
          <w:color w:val="FFFFFF" w:themeColor="background1"/>
          <w:sz w:val="20"/>
          <w:szCs w:val="20"/>
        </w:rPr>
        <w:tab/>
      </w:r>
      <w:r w:rsidRPr="00DC324A">
        <w:rPr>
          <w:b/>
          <w:bCs/>
          <w:color w:val="FFFFFF" w:themeColor="background1"/>
          <w:sz w:val="20"/>
          <w:szCs w:val="20"/>
        </w:rPr>
        <w:tab/>
      </w:r>
    </w:p>
    <w:p w14:paraId="1B90A45C" w14:textId="77777777" w:rsidR="00DC324A" w:rsidRPr="0087747B" w:rsidRDefault="00DC324A" w:rsidP="00957786">
      <w:pPr>
        <w:pStyle w:val="Heading1"/>
      </w:pPr>
      <w:bookmarkStart w:id="7" w:name="_Toc106633815"/>
      <w:bookmarkStart w:id="8" w:name="_Toc109725264"/>
      <w:r w:rsidRPr="0087747B">
        <w:lastRenderedPageBreak/>
        <w:t>GOAL METHODOLOGY</w:t>
      </w:r>
      <w:bookmarkEnd w:id="4"/>
      <w:bookmarkEnd w:id="5"/>
      <w:bookmarkEnd w:id="6"/>
      <w:bookmarkEnd w:id="7"/>
      <w:bookmarkEnd w:id="8"/>
    </w:p>
    <w:p w14:paraId="6C52BA81" w14:textId="77777777" w:rsidR="00E50F14" w:rsidRDefault="00E50F14" w:rsidP="000C1E75">
      <w:pPr>
        <w:autoSpaceDE w:val="0"/>
        <w:autoSpaceDN w:val="0"/>
        <w:adjustRightInd w:val="0"/>
        <w:spacing w:after="0"/>
        <w:jc w:val="both"/>
        <w:rPr>
          <w:rFonts w:eastAsia="Times New Roman" w:cstheme="minorHAnsi"/>
          <w:szCs w:val="20"/>
          <w:highlight w:val="yellow"/>
        </w:rPr>
      </w:pPr>
    </w:p>
    <w:p w14:paraId="6D421383" w14:textId="0905F0BD" w:rsidR="000C1E75" w:rsidRPr="00E661C3" w:rsidRDefault="000C1E75" w:rsidP="005A0C48">
      <w:pPr>
        <w:pStyle w:val="Heading2"/>
        <w:rPr>
          <w:vertAlign w:val="superscript"/>
        </w:rPr>
      </w:pPr>
      <w:r w:rsidRPr="00E661C3">
        <w:t>Step 1: Determination of a Base Figure (26.45)</w:t>
      </w:r>
      <w:r w:rsidRPr="00E661C3">
        <w:rPr>
          <w:rStyle w:val="FootnoteReference"/>
        </w:rPr>
        <w:footnoteReference w:id="11"/>
      </w:r>
    </w:p>
    <w:p w14:paraId="4F9FB9EE" w14:textId="3236E4B2" w:rsidR="000C1E75" w:rsidRDefault="000C1E75" w:rsidP="000C1E75">
      <w:pPr>
        <w:autoSpaceDE w:val="0"/>
        <w:autoSpaceDN w:val="0"/>
        <w:adjustRightInd w:val="0"/>
        <w:spacing w:after="240"/>
        <w:jc w:val="both"/>
        <w:rPr>
          <w:rFonts w:eastAsia="Times New Roman" w:cstheme="minorHAnsi"/>
        </w:rPr>
      </w:pPr>
      <w:r w:rsidRPr="00E661C3">
        <w:t xml:space="preserve">To establish </w:t>
      </w:r>
      <w:r w:rsidR="00B60A2D" w:rsidRPr="00E661C3">
        <w:t>Unitrans</w:t>
      </w:r>
      <w:r w:rsidRPr="00E661C3">
        <w:t xml:space="preserve">’s </w:t>
      </w:r>
      <w:r w:rsidRPr="00E661C3">
        <w:rPr>
          <w:rFonts w:eastAsia="Times New Roman" w:cstheme="minorHAnsi"/>
        </w:rPr>
        <w:t xml:space="preserve">Base Figure of the relative availability of DBEs to all comparable firms (DBE and non-DBE) available to bid or propose on </w:t>
      </w:r>
      <w:r w:rsidR="00B60A2D" w:rsidRPr="00E661C3">
        <w:rPr>
          <w:rFonts w:eastAsia="Times New Roman" w:cstheme="minorHAnsi"/>
        </w:rPr>
        <w:t>Unitrans</w:t>
      </w:r>
      <w:r w:rsidRPr="00E661C3">
        <w:rPr>
          <w:rFonts w:eastAsia="Times New Roman" w:cstheme="minorHAnsi"/>
        </w:rPr>
        <w:t xml:space="preserve">’s FTA-assisted contracting opportunities projected to be solicited during the triennial goal period, </w:t>
      </w:r>
      <w:r w:rsidR="00B60A2D" w:rsidRPr="00E661C3">
        <w:rPr>
          <w:rFonts w:eastAsia="Times New Roman" w:cstheme="minorHAnsi"/>
        </w:rPr>
        <w:t>Unitrans</w:t>
      </w:r>
      <w:r w:rsidRPr="00E661C3">
        <w:rPr>
          <w:rFonts w:eastAsia="Times New Roman" w:cstheme="minorHAnsi"/>
        </w:rPr>
        <w:t xml:space="preserve"> followed the prescribed federal methodology to determine relative availability. This was accomplished by assessing the California Unified Certification Program (CUCP) DBE Database of Certified Firms and the 20</w:t>
      </w:r>
      <w:r w:rsidR="00E661C3" w:rsidRPr="00E661C3">
        <w:rPr>
          <w:rFonts w:eastAsia="Times New Roman" w:cstheme="minorHAnsi"/>
        </w:rPr>
        <w:t>2</w:t>
      </w:r>
      <w:r w:rsidR="00502D61">
        <w:rPr>
          <w:rFonts w:eastAsia="Times New Roman" w:cstheme="minorHAnsi"/>
        </w:rPr>
        <w:t>1</w:t>
      </w:r>
      <w:r w:rsidRPr="00E661C3">
        <w:rPr>
          <w:rFonts w:eastAsia="Times New Roman" w:cstheme="minorHAnsi"/>
        </w:rPr>
        <w:t xml:space="preserve"> U.S. Census Bureau County Business Patterns Database within </w:t>
      </w:r>
      <w:r w:rsidR="00B60A2D" w:rsidRPr="00E661C3">
        <w:rPr>
          <w:rFonts w:eastAsia="Times New Roman" w:cstheme="minorHAnsi"/>
        </w:rPr>
        <w:t>Unitrans</w:t>
      </w:r>
      <w:r w:rsidRPr="00E661C3">
        <w:rPr>
          <w:rFonts w:eastAsia="Times New Roman" w:cstheme="minorHAnsi"/>
        </w:rPr>
        <w:t xml:space="preserve">’s market area for each of the categories of work defined in Table 2. </w:t>
      </w:r>
    </w:p>
    <w:p w14:paraId="264F29C9" w14:textId="77777777" w:rsidR="00EB25AA" w:rsidRPr="0087747B" w:rsidRDefault="00EB25AA" w:rsidP="00EB25AA">
      <w:pPr>
        <w:autoSpaceDE w:val="0"/>
        <w:autoSpaceDN w:val="0"/>
        <w:adjustRightInd w:val="0"/>
        <w:spacing w:after="240"/>
        <w:ind w:left="720"/>
        <w:jc w:val="both"/>
        <w:rPr>
          <w:rFonts w:cstheme="minorHAnsi"/>
        </w:rPr>
      </w:pPr>
      <w:r w:rsidRPr="0087747B">
        <w:rPr>
          <w:rFonts w:eastAsia="Times New Roman" w:cstheme="minorHAnsi"/>
        </w:rPr>
        <w:t xml:space="preserve">Base Figure = </w:t>
      </w:r>
      <w:r w:rsidRPr="0087747B">
        <w:rPr>
          <w:rFonts w:cstheme="minorHAnsi"/>
        </w:rPr>
        <w:t xml:space="preserve">∑ </w:t>
      </w:r>
      <m:oMath>
        <m:f>
          <m:fPr>
            <m:ctrlPr>
              <w:rPr>
                <w:rFonts w:ascii="Cambria Math" w:hAnsi="Cambria Math" w:cs="Times New Roman"/>
                <w:sz w:val="28"/>
              </w:rPr>
            </m:ctrlPr>
          </m:fPr>
          <m:num>
            <m:d>
              <m:dPr>
                <m:ctrlPr>
                  <w:rPr>
                    <w:rFonts w:ascii="Cambria Math" w:hAnsi="Cambria Math" w:cs="Times New Roman"/>
                    <w:sz w:val="28"/>
                  </w:rPr>
                </m:ctrlPr>
              </m:dPr>
              <m:e>
                <m:r>
                  <m:rPr>
                    <m:sty m:val="p"/>
                  </m:rPr>
                  <w:rPr>
                    <w:rFonts w:ascii="Cambria Math" w:hAnsi="Cambria Math" w:cs="Times New Roman"/>
                    <w:sz w:val="28"/>
                  </w:rPr>
                  <m:t>Number of Ready,   Willing and Able DBEs</m:t>
                </m:r>
              </m:e>
            </m:d>
          </m:num>
          <m:den>
            <m:r>
              <m:rPr>
                <m:sty m:val="p"/>
              </m:rPr>
              <w:rPr>
                <w:rFonts w:ascii="Cambria Math" w:hAnsi="Cambria Math" w:cs="Times New Roman"/>
                <w:sz w:val="28"/>
              </w:rPr>
              <m:t>(Number of All Ready,   Willing and Able Firms)</m:t>
            </m:r>
          </m:den>
        </m:f>
        <m:r>
          <m:rPr>
            <m:sty m:val="p"/>
          </m:rPr>
          <w:rPr>
            <w:rFonts w:ascii="Cambria Math" w:hAnsi="Cambria Math" w:cs="Times New Roman"/>
            <w:sz w:val="28"/>
          </w:rPr>
          <m:t>x weighted ratio</m:t>
        </m:r>
      </m:oMath>
    </w:p>
    <w:p w14:paraId="4602DC6F" w14:textId="77777777" w:rsidR="00EB25AA" w:rsidRPr="0087747B" w:rsidRDefault="00EB25AA" w:rsidP="00EB25AA">
      <w:pPr>
        <w:tabs>
          <w:tab w:val="left" w:pos="3330"/>
        </w:tabs>
        <w:autoSpaceDE w:val="0"/>
        <w:autoSpaceDN w:val="0"/>
        <w:adjustRightInd w:val="0"/>
        <w:spacing w:after="0"/>
        <w:ind w:left="720"/>
        <w:jc w:val="both"/>
        <w:rPr>
          <w:rFonts w:eastAsia="Times New Roman" w:cstheme="minorHAnsi"/>
        </w:rPr>
      </w:pPr>
      <w:r w:rsidRPr="0087747B">
        <w:rPr>
          <w:rFonts w:ascii="Wingdings" w:eastAsia="Wingdings" w:hAnsi="Wingdings" w:cstheme="minorHAnsi"/>
        </w:rPr>
        <w:t></w:t>
      </w:r>
      <w:r w:rsidRPr="0087747B">
        <w:rPr>
          <w:rFonts w:eastAsia="Times New Roman" w:cstheme="minorHAnsi"/>
        </w:rPr>
        <w:t xml:space="preserve"> For the numerator: </w:t>
      </w:r>
      <w:r w:rsidRPr="0087747B">
        <w:rPr>
          <w:rFonts w:eastAsia="Times New Roman" w:cstheme="minorHAnsi"/>
        </w:rPr>
        <w:tab/>
        <w:t>CUCP DBE Database of Certified Firms</w:t>
      </w:r>
    </w:p>
    <w:p w14:paraId="76CF750C" w14:textId="22C41C50" w:rsidR="00EB25AA" w:rsidRPr="0087747B" w:rsidRDefault="00EB25AA" w:rsidP="00EB25AA">
      <w:pPr>
        <w:tabs>
          <w:tab w:val="left" w:pos="3330"/>
        </w:tabs>
        <w:autoSpaceDE w:val="0"/>
        <w:autoSpaceDN w:val="0"/>
        <w:adjustRightInd w:val="0"/>
        <w:spacing w:after="240"/>
        <w:ind w:left="3600" w:hanging="2880"/>
        <w:jc w:val="both"/>
        <w:rPr>
          <w:rFonts w:eastAsia="Times New Roman" w:cstheme="minorHAnsi"/>
        </w:rPr>
      </w:pPr>
      <w:r w:rsidRPr="0087747B">
        <w:rPr>
          <w:rFonts w:ascii="Wingdings" w:eastAsia="Wingdings" w:hAnsi="Wingdings" w:cstheme="minorHAnsi"/>
        </w:rPr>
        <w:t></w:t>
      </w:r>
      <w:r w:rsidRPr="0087747B">
        <w:rPr>
          <w:rFonts w:eastAsia="Times New Roman" w:cstheme="minorHAnsi"/>
        </w:rPr>
        <w:t xml:space="preserve"> For the denominator:  </w:t>
      </w:r>
      <w:r w:rsidRPr="0087747B">
        <w:rPr>
          <w:rFonts w:eastAsia="Times New Roman" w:cstheme="minorHAnsi"/>
        </w:rPr>
        <w:tab/>
        <w:t>202</w:t>
      </w:r>
      <w:r w:rsidR="002853D6">
        <w:rPr>
          <w:rFonts w:eastAsia="Times New Roman" w:cstheme="minorHAnsi"/>
        </w:rPr>
        <w:t>1</w:t>
      </w:r>
      <w:r w:rsidRPr="0087747B">
        <w:rPr>
          <w:rFonts w:eastAsia="Times New Roman" w:cstheme="minorHAnsi"/>
        </w:rPr>
        <w:t xml:space="preserve"> U.S. Census Bureau County Business Patterns Database</w:t>
      </w:r>
    </w:p>
    <w:p w14:paraId="0FCA4EB0" w14:textId="34406764" w:rsidR="00EB25AA" w:rsidRPr="00EB25AA" w:rsidRDefault="00EB25AA" w:rsidP="00BD10CA">
      <w:pPr>
        <w:autoSpaceDE w:val="0"/>
        <w:autoSpaceDN w:val="0"/>
        <w:adjustRightInd w:val="0"/>
        <w:spacing w:after="240"/>
        <w:jc w:val="both"/>
        <w:rPr>
          <w:rFonts w:eastAsia="Times New Roman" w:cstheme="minorHAnsi"/>
        </w:rPr>
      </w:pPr>
      <w:r w:rsidRPr="00EB25AA">
        <w:rPr>
          <w:rFonts w:eastAsia="Times New Roman" w:cstheme="minorHAnsi"/>
        </w:rPr>
        <w:t xml:space="preserve">In accordance with the formula listed </w:t>
      </w:r>
      <w:r w:rsidR="00BD10CA">
        <w:rPr>
          <w:rFonts w:eastAsia="Times New Roman" w:cstheme="minorHAnsi"/>
        </w:rPr>
        <w:t>above</w:t>
      </w:r>
      <w:r w:rsidRPr="00EB25AA">
        <w:rPr>
          <w:rFonts w:eastAsia="Times New Roman" w:cstheme="minorHAnsi"/>
        </w:rPr>
        <w:t>, the Base Figure is derived by:</w:t>
      </w:r>
    </w:p>
    <w:p w14:paraId="5F397D31" w14:textId="77777777" w:rsidR="00EB25AA" w:rsidRPr="00EB25AA" w:rsidRDefault="00EB25AA" w:rsidP="00EB25AA">
      <w:pPr>
        <w:pStyle w:val="ListParagraph"/>
        <w:numPr>
          <w:ilvl w:val="0"/>
          <w:numId w:val="14"/>
        </w:numPr>
        <w:autoSpaceDE w:val="0"/>
        <w:autoSpaceDN w:val="0"/>
        <w:adjustRightInd w:val="0"/>
        <w:spacing w:after="0"/>
        <w:jc w:val="both"/>
        <w:rPr>
          <w:rFonts w:asciiTheme="minorHAnsi" w:eastAsia="Times New Roman" w:hAnsiTheme="minorHAnsi" w:cstheme="minorHAnsi"/>
          <w:szCs w:val="22"/>
        </w:rPr>
      </w:pPr>
      <w:r w:rsidRPr="00EB25AA">
        <w:rPr>
          <w:rFonts w:asciiTheme="minorHAnsi" w:eastAsia="Times New Roman" w:hAnsiTheme="minorHAnsi" w:cstheme="minorHAnsi"/>
          <w:szCs w:val="22"/>
        </w:rPr>
        <w:t xml:space="preserve">Relative Availability: dividing the number of ready, willing and able DBE firms identified for each NAICS work category by the number of all firms identified within the market are for each corresponding work category, </w:t>
      </w:r>
    </w:p>
    <w:p w14:paraId="3B84B70A" w14:textId="77777777" w:rsidR="00EB25AA" w:rsidRDefault="00EB25AA" w:rsidP="00EB25AA">
      <w:pPr>
        <w:pStyle w:val="ListParagraph"/>
        <w:numPr>
          <w:ilvl w:val="0"/>
          <w:numId w:val="14"/>
        </w:numPr>
        <w:autoSpaceDE w:val="0"/>
        <w:autoSpaceDN w:val="0"/>
        <w:adjustRightInd w:val="0"/>
        <w:spacing w:after="0"/>
        <w:jc w:val="both"/>
        <w:rPr>
          <w:rFonts w:asciiTheme="minorHAnsi" w:eastAsia="Times New Roman" w:hAnsiTheme="minorHAnsi" w:cstheme="minorHAnsi"/>
          <w:szCs w:val="22"/>
        </w:rPr>
      </w:pPr>
      <w:r w:rsidRPr="00EB25AA">
        <w:rPr>
          <w:rFonts w:asciiTheme="minorHAnsi" w:eastAsia="Times New Roman" w:hAnsiTheme="minorHAnsi" w:cstheme="minorHAnsi"/>
          <w:szCs w:val="22"/>
        </w:rPr>
        <w:t>Weighted Relative Availability: weighting the relative availability of each work category by the corresponding work category weight from Table 2 (</w:t>
      </w:r>
      <w:r w:rsidRPr="00EB25AA">
        <w:rPr>
          <w:rFonts w:asciiTheme="minorHAnsi" w:eastAsia="Times New Roman" w:hAnsiTheme="minorHAnsi" w:cstheme="minorHAnsi"/>
          <w:i/>
          <w:iCs/>
          <w:szCs w:val="22"/>
        </w:rPr>
        <w:t>NAICS %</w:t>
      </w:r>
      <w:r w:rsidRPr="00EB25AA">
        <w:rPr>
          <w:rFonts w:asciiTheme="minorHAnsi" w:eastAsia="Times New Roman" w:hAnsiTheme="minorHAnsi" w:cstheme="minorHAnsi"/>
          <w:szCs w:val="22"/>
        </w:rPr>
        <w:t xml:space="preserve">) to determine the Weighted Ratio for each NAICS work category and adding the weighted ratio figures together. </w:t>
      </w:r>
    </w:p>
    <w:p w14:paraId="69710C63" w14:textId="77777777" w:rsidR="00BD10CA" w:rsidRPr="00EB25AA" w:rsidRDefault="00BD10CA" w:rsidP="00BD10CA">
      <w:pPr>
        <w:pStyle w:val="ListParagraph"/>
        <w:autoSpaceDE w:val="0"/>
        <w:autoSpaceDN w:val="0"/>
        <w:adjustRightInd w:val="0"/>
        <w:spacing w:after="0"/>
        <w:ind w:left="1080"/>
        <w:jc w:val="both"/>
        <w:rPr>
          <w:rFonts w:asciiTheme="minorHAnsi" w:eastAsia="Times New Roman" w:hAnsiTheme="minorHAnsi" w:cstheme="minorHAnsi"/>
          <w:szCs w:val="22"/>
        </w:rPr>
      </w:pPr>
    </w:p>
    <w:p w14:paraId="6D6EC63C" w14:textId="77777777" w:rsidR="00EB25AA" w:rsidRPr="00EB25AA" w:rsidRDefault="00EB25AA" w:rsidP="00BD10CA">
      <w:pPr>
        <w:autoSpaceDE w:val="0"/>
        <w:autoSpaceDN w:val="0"/>
        <w:adjustRightInd w:val="0"/>
        <w:spacing w:after="240"/>
        <w:jc w:val="both"/>
        <w:rPr>
          <w:rFonts w:eastAsia="Times New Roman" w:cstheme="minorHAnsi"/>
        </w:rPr>
      </w:pPr>
      <w:r w:rsidRPr="00EB25AA">
        <w:rPr>
          <w:rFonts w:eastAsia="Times New Roman" w:cstheme="minorHAnsi"/>
        </w:rPr>
        <w:t xml:space="preserve">A concerted effort was made to ensure that the scope of businesses included in the numerator was as close as possible to the scope included in the denominator. </w:t>
      </w:r>
    </w:p>
    <w:p w14:paraId="4DB7D033" w14:textId="77777777" w:rsidR="00EB25AA" w:rsidRDefault="00EB25AA" w:rsidP="00BD10CA">
      <w:pPr>
        <w:autoSpaceDE w:val="0"/>
        <w:autoSpaceDN w:val="0"/>
        <w:adjustRightInd w:val="0"/>
        <w:spacing w:after="240"/>
        <w:jc w:val="both"/>
        <w:rPr>
          <w:rFonts w:eastAsia="Times New Roman" w:cstheme="minorHAnsi"/>
        </w:rPr>
      </w:pPr>
      <w:r w:rsidRPr="00EB25AA">
        <w:rPr>
          <w:rFonts w:eastAsia="Times New Roman" w:cstheme="minorHAnsi"/>
        </w:rPr>
        <w:t xml:space="preserve">The relative availability of DBEs is calculated in Table 4 below. </w:t>
      </w:r>
    </w:p>
    <w:p w14:paraId="03D259F2" w14:textId="77777777" w:rsidR="00E07F8A" w:rsidRDefault="00E07F8A" w:rsidP="00E07F8A">
      <w:pPr>
        <w:autoSpaceDE w:val="0"/>
        <w:autoSpaceDN w:val="0"/>
        <w:adjustRightInd w:val="0"/>
        <w:spacing w:after="0"/>
        <w:jc w:val="both"/>
        <w:rPr>
          <w:rFonts w:eastAsia="Times New Roman" w:cstheme="minorHAnsi"/>
        </w:rPr>
      </w:pPr>
    </w:p>
    <w:p w14:paraId="2992E4BA" w14:textId="77777777" w:rsidR="00A04400" w:rsidRPr="00C938A9" w:rsidRDefault="00A04400" w:rsidP="00A04400">
      <w:pPr>
        <w:autoSpaceDE w:val="0"/>
        <w:autoSpaceDN w:val="0"/>
        <w:adjustRightInd w:val="0"/>
        <w:spacing w:after="0"/>
        <w:jc w:val="center"/>
        <w:rPr>
          <w:rFonts w:eastAsia="Times New Roman" w:cstheme="minorHAnsi"/>
          <w:b/>
          <w:szCs w:val="20"/>
        </w:rPr>
      </w:pPr>
      <w:r w:rsidRPr="00C938A9">
        <w:rPr>
          <w:rFonts w:eastAsia="Times New Roman" w:cstheme="minorHAnsi"/>
          <w:b/>
          <w:szCs w:val="20"/>
        </w:rPr>
        <w:t>TABLE 4: DBE Relative Availability</w:t>
      </w:r>
    </w:p>
    <w:p w14:paraId="035D6FE4" w14:textId="77777777" w:rsidR="00A04400" w:rsidRPr="00C938A9" w:rsidRDefault="00A04400" w:rsidP="00A04400">
      <w:pPr>
        <w:autoSpaceDE w:val="0"/>
        <w:autoSpaceDN w:val="0"/>
        <w:adjustRightInd w:val="0"/>
        <w:spacing w:after="0"/>
        <w:jc w:val="center"/>
        <w:rPr>
          <w:rFonts w:eastAsia="Times New Roman" w:cstheme="minorHAnsi"/>
          <w:bCs/>
          <w:i/>
          <w:iCs/>
          <w:szCs w:val="20"/>
        </w:rPr>
      </w:pPr>
      <w:r w:rsidRPr="00C938A9">
        <w:rPr>
          <w:rFonts w:eastAsia="Times New Roman" w:cstheme="minorHAnsi"/>
          <w:bCs/>
          <w:i/>
          <w:iCs/>
          <w:szCs w:val="20"/>
        </w:rPr>
        <w:t>(amounts subject to rounding differences)</w:t>
      </w:r>
    </w:p>
    <w:tbl>
      <w:tblPr>
        <w:tblW w:w="9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5580"/>
        <w:gridCol w:w="815"/>
        <w:gridCol w:w="943"/>
        <w:gridCol w:w="1385"/>
      </w:tblGrid>
      <w:tr w:rsidR="00A04400" w:rsidRPr="00F14474" w14:paraId="38786AA5" w14:textId="77777777" w:rsidTr="0026547C">
        <w:trPr>
          <w:trHeight w:val="20"/>
          <w:tblHeader/>
        </w:trPr>
        <w:tc>
          <w:tcPr>
            <w:tcW w:w="895" w:type="dxa"/>
            <w:shd w:val="clear" w:color="auto" w:fill="444444" w:themeFill="text1"/>
            <w:vAlign w:val="center"/>
            <w:hideMark/>
          </w:tcPr>
          <w:p w14:paraId="329A39C6" w14:textId="06FD1003" w:rsidR="00A04400" w:rsidRPr="00F14474" w:rsidRDefault="0026547C" w:rsidP="00287D37">
            <w:pPr>
              <w:spacing w:after="0"/>
              <w:jc w:val="center"/>
              <w:rPr>
                <w:rFonts w:eastAsia="Times New Roman" w:cstheme="minorHAnsi"/>
                <w:b/>
                <w:bCs/>
                <w:color w:val="FFFFFF"/>
                <w:sz w:val="20"/>
                <w:szCs w:val="20"/>
              </w:rPr>
            </w:pPr>
            <w:r w:rsidRPr="00F14474">
              <w:rPr>
                <w:rFonts w:eastAsia="Times New Roman" w:cstheme="minorHAnsi"/>
                <w:b/>
                <w:bCs/>
                <w:color w:val="FFFFFF"/>
                <w:sz w:val="20"/>
                <w:szCs w:val="20"/>
              </w:rPr>
              <w:t>NAICS CODE</w:t>
            </w:r>
          </w:p>
        </w:tc>
        <w:tc>
          <w:tcPr>
            <w:tcW w:w="5580" w:type="dxa"/>
            <w:shd w:val="clear" w:color="auto" w:fill="444444" w:themeFill="text1"/>
            <w:vAlign w:val="center"/>
            <w:hideMark/>
          </w:tcPr>
          <w:p w14:paraId="61A72064" w14:textId="22515E65" w:rsidR="00A04400" w:rsidRPr="00F14474" w:rsidRDefault="0026547C" w:rsidP="00287D37">
            <w:pPr>
              <w:spacing w:after="0"/>
              <w:jc w:val="center"/>
              <w:rPr>
                <w:rFonts w:eastAsia="Times New Roman" w:cstheme="minorHAnsi"/>
                <w:b/>
                <w:bCs/>
                <w:color w:val="FFFFFF"/>
                <w:sz w:val="20"/>
                <w:szCs w:val="20"/>
              </w:rPr>
            </w:pPr>
            <w:r w:rsidRPr="00F14474">
              <w:rPr>
                <w:rFonts w:eastAsia="Times New Roman" w:cstheme="minorHAnsi"/>
                <w:b/>
                <w:bCs/>
                <w:color w:val="FFFFFF"/>
                <w:sz w:val="20"/>
                <w:szCs w:val="20"/>
              </w:rPr>
              <w:t>CATEGORY OF WORK</w:t>
            </w:r>
          </w:p>
        </w:tc>
        <w:tc>
          <w:tcPr>
            <w:tcW w:w="815" w:type="dxa"/>
            <w:shd w:val="clear" w:color="auto" w:fill="444444" w:themeFill="text1"/>
            <w:vAlign w:val="center"/>
            <w:hideMark/>
          </w:tcPr>
          <w:p w14:paraId="639296C2" w14:textId="3FE8C501" w:rsidR="00A04400" w:rsidRPr="00F14474" w:rsidRDefault="0026547C" w:rsidP="00287D37">
            <w:pPr>
              <w:spacing w:after="0"/>
              <w:jc w:val="center"/>
              <w:rPr>
                <w:rFonts w:eastAsia="Times New Roman" w:cstheme="minorHAnsi"/>
                <w:b/>
                <w:bCs/>
                <w:color w:val="FFFFFF"/>
                <w:sz w:val="20"/>
                <w:szCs w:val="20"/>
              </w:rPr>
            </w:pPr>
            <w:r w:rsidRPr="00F14474">
              <w:rPr>
                <w:rFonts w:eastAsia="Times New Roman" w:cstheme="minorHAnsi"/>
                <w:b/>
                <w:bCs/>
                <w:color w:val="FFFFFF"/>
                <w:sz w:val="20"/>
                <w:szCs w:val="20"/>
              </w:rPr>
              <w:t>DBES</w:t>
            </w:r>
            <w:r w:rsidR="00A04400" w:rsidRPr="00F14474">
              <w:rPr>
                <w:rStyle w:val="FootnoteReference"/>
                <w:rFonts w:eastAsia="Times New Roman" w:cstheme="minorHAnsi"/>
                <w:b/>
                <w:bCs/>
                <w:color w:val="FFFFFF"/>
                <w:sz w:val="20"/>
                <w:szCs w:val="20"/>
              </w:rPr>
              <w:footnoteReference w:id="12"/>
            </w:r>
          </w:p>
        </w:tc>
        <w:tc>
          <w:tcPr>
            <w:tcW w:w="943" w:type="dxa"/>
            <w:shd w:val="clear" w:color="auto" w:fill="444444" w:themeFill="text1"/>
            <w:vAlign w:val="center"/>
            <w:hideMark/>
          </w:tcPr>
          <w:p w14:paraId="09AE890A" w14:textId="5E3532BE" w:rsidR="00A04400" w:rsidRPr="00F14474" w:rsidRDefault="0026547C" w:rsidP="00287D37">
            <w:pPr>
              <w:spacing w:after="0"/>
              <w:jc w:val="center"/>
              <w:rPr>
                <w:rFonts w:eastAsia="Times New Roman" w:cstheme="minorHAnsi"/>
                <w:b/>
                <w:bCs/>
                <w:color w:val="FFFFFF"/>
                <w:sz w:val="20"/>
                <w:szCs w:val="20"/>
              </w:rPr>
            </w:pPr>
            <w:r w:rsidRPr="00F14474">
              <w:rPr>
                <w:rFonts w:eastAsia="Times New Roman" w:cstheme="minorHAnsi"/>
                <w:b/>
                <w:bCs/>
                <w:color w:val="FFFFFF"/>
                <w:sz w:val="20"/>
                <w:szCs w:val="20"/>
              </w:rPr>
              <w:t>ALL FIRMS</w:t>
            </w:r>
            <w:r w:rsidR="00A04400" w:rsidRPr="00F14474">
              <w:rPr>
                <w:rStyle w:val="FootnoteReference"/>
                <w:rFonts w:eastAsia="Times New Roman" w:cstheme="minorHAnsi"/>
                <w:b/>
                <w:bCs/>
                <w:color w:val="FFFFFF"/>
                <w:sz w:val="20"/>
                <w:szCs w:val="20"/>
              </w:rPr>
              <w:footnoteReference w:id="13"/>
            </w:r>
          </w:p>
        </w:tc>
        <w:tc>
          <w:tcPr>
            <w:tcW w:w="1385" w:type="dxa"/>
            <w:shd w:val="clear" w:color="auto" w:fill="444444" w:themeFill="text1"/>
            <w:vAlign w:val="center"/>
            <w:hideMark/>
          </w:tcPr>
          <w:p w14:paraId="07CC0214" w14:textId="2A947339" w:rsidR="00A04400" w:rsidRPr="00F14474" w:rsidRDefault="0026547C" w:rsidP="00287D37">
            <w:pPr>
              <w:spacing w:after="0"/>
              <w:jc w:val="center"/>
              <w:rPr>
                <w:rFonts w:eastAsia="Times New Roman" w:cstheme="minorHAnsi"/>
                <w:b/>
                <w:bCs/>
                <w:color w:val="FFFFFF"/>
                <w:sz w:val="20"/>
                <w:szCs w:val="20"/>
              </w:rPr>
            </w:pPr>
            <w:r w:rsidRPr="00F14474">
              <w:rPr>
                <w:rFonts w:eastAsia="Times New Roman" w:cstheme="minorHAnsi"/>
                <w:b/>
                <w:bCs/>
                <w:color w:val="FFFFFF"/>
                <w:sz w:val="20"/>
                <w:szCs w:val="20"/>
              </w:rPr>
              <w:t>REL. AVAL.</w:t>
            </w:r>
            <w:r w:rsidR="00A04400" w:rsidRPr="00F14474">
              <w:rPr>
                <w:rStyle w:val="FootnoteReference"/>
                <w:rFonts w:eastAsia="Times New Roman" w:cstheme="minorHAnsi"/>
                <w:b/>
                <w:bCs/>
                <w:color w:val="FFFFFF"/>
                <w:sz w:val="20"/>
                <w:szCs w:val="20"/>
              </w:rPr>
              <w:footnoteReference w:id="14"/>
            </w:r>
          </w:p>
        </w:tc>
      </w:tr>
      <w:tr w:rsidR="00EA735F" w:rsidRPr="00F14474" w14:paraId="7BAD52AD" w14:textId="77777777" w:rsidTr="000D67D9">
        <w:trPr>
          <w:trHeight w:val="20"/>
        </w:trPr>
        <w:tc>
          <w:tcPr>
            <w:tcW w:w="895" w:type="dxa"/>
            <w:shd w:val="clear" w:color="auto" w:fill="auto"/>
            <w:noWrap/>
            <w:vAlign w:val="center"/>
          </w:tcPr>
          <w:p w14:paraId="7EA00A50" w14:textId="2E09A289"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236220</w:t>
            </w:r>
          </w:p>
        </w:tc>
        <w:tc>
          <w:tcPr>
            <w:tcW w:w="5580" w:type="dxa"/>
            <w:shd w:val="clear" w:color="auto" w:fill="auto"/>
            <w:noWrap/>
            <w:vAlign w:val="center"/>
          </w:tcPr>
          <w:p w14:paraId="5CB89F1D" w14:textId="42AD2907" w:rsidR="00EA735F" w:rsidRPr="00F14474" w:rsidRDefault="00EA735F" w:rsidP="00EA735F">
            <w:pPr>
              <w:spacing w:after="0"/>
              <w:rPr>
                <w:rFonts w:eastAsia="Times New Roman" w:cstheme="minorHAnsi"/>
                <w:color w:val="000000"/>
                <w:sz w:val="20"/>
                <w:szCs w:val="20"/>
                <w:highlight w:val="yellow"/>
              </w:rPr>
            </w:pPr>
            <w:r>
              <w:rPr>
                <w:rFonts w:ascii="Calibri" w:hAnsi="Calibri" w:cs="Calibri"/>
                <w:color w:val="000000"/>
                <w:sz w:val="20"/>
                <w:szCs w:val="20"/>
              </w:rPr>
              <w:t>Commercial and institutional building construction</w:t>
            </w:r>
          </w:p>
        </w:tc>
        <w:tc>
          <w:tcPr>
            <w:tcW w:w="815" w:type="dxa"/>
            <w:shd w:val="clear" w:color="auto" w:fill="auto"/>
            <w:noWrap/>
            <w:vAlign w:val="center"/>
          </w:tcPr>
          <w:p w14:paraId="31BD05B6" w14:textId="080BC16C"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6</w:t>
            </w:r>
          </w:p>
        </w:tc>
        <w:tc>
          <w:tcPr>
            <w:tcW w:w="943" w:type="dxa"/>
            <w:shd w:val="clear" w:color="auto" w:fill="auto"/>
            <w:noWrap/>
            <w:vAlign w:val="center"/>
          </w:tcPr>
          <w:p w14:paraId="3B90D95B" w14:textId="4607F179"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219</w:t>
            </w:r>
          </w:p>
        </w:tc>
        <w:tc>
          <w:tcPr>
            <w:tcW w:w="1385" w:type="dxa"/>
            <w:shd w:val="clear" w:color="auto" w:fill="auto"/>
            <w:noWrap/>
            <w:vAlign w:val="center"/>
          </w:tcPr>
          <w:p w14:paraId="3EEF416A" w14:textId="39C7935D"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2.7%</w:t>
            </w:r>
          </w:p>
        </w:tc>
      </w:tr>
      <w:tr w:rsidR="00EA735F" w:rsidRPr="00F14474" w14:paraId="2C001B90" w14:textId="77777777" w:rsidTr="000D67D9">
        <w:trPr>
          <w:trHeight w:val="20"/>
        </w:trPr>
        <w:tc>
          <w:tcPr>
            <w:tcW w:w="895" w:type="dxa"/>
            <w:shd w:val="clear" w:color="auto" w:fill="auto"/>
            <w:noWrap/>
            <w:vAlign w:val="center"/>
          </w:tcPr>
          <w:p w14:paraId="4349A884" w14:textId="386D198C"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238210</w:t>
            </w:r>
          </w:p>
        </w:tc>
        <w:tc>
          <w:tcPr>
            <w:tcW w:w="5580" w:type="dxa"/>
            <w:shd w:val="clear" w:color="auto" w:fill="auto"/>
            <w:noWrap/>
            <w:vAlign w:val="center"/>
          </w:tcPr>
          <w:p w14:paraId="7BD2988E" w14:textId="4C79E3A1" w:rsidR="00EA735F" w:rsidRPr="00F14474" w:rsidRDefault="00EA735F" w:rsidP="00EA735F">
            <w:pPr>
              <w:spacing w:after="0"/>
              <w:rPr>
                <w:rFonts w:eastAsia="Times New Roman" w:cstheme="minorHAnsi"/>
                <w:color w:val="000000"/>
                <w:sz w:val="20"/>
                <w:szCs w:val="20"/>
                <w:highlight w:val="yellow"/>
              </w:rPr>
            </w:pPr>
            <w:r>
              <w:rPr>
                <w:rFonts w:ascii="Calibri" w:hAnsi="Calibri" w:cs="Calibri"/>
                <w:color w:val="000000"/>
                <w:sz w:val="20"/>
                <w:szCs w:val="20"/>
              </w:rPr>
              <w:t>Electrical contractors and other wiring installation contractors</w:t>
            </w:r>
          </w:p>
        </w:tc>
        <w:tc>
          <w:tcPr>
            <w:tcW w:w="815" w:type="dxa"/>
            <w:shd w:val="clear" w:color="auto" w:fill="auto"/>
            <w:noWrap/>
            <w:vAlign w:val="center"/>
          </w:tcPr>
          <w:p w14:paraId="59338029" w14:textId="7B1E742C"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7</w:t>
            </w:r>
          </w:p>
        </w:tc>
        <w:tc>
          <w:tcPr>
            <w:tcW w:w="943" w:type="dxa"/>
            <w:shd w:val="clear" w:color="auto" w:fill="auto"/>
            <w:noWrap/>
            <w:vAlign w:val="center"/>
          </w:tcPr>
          <w:p w14:paraId="27C89969" w14:textId="5A5BB046"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465</w:t>
            </w:r>
          </w:p>
        </w:tc>
        <w:tc>
          <w:tcPr>
            <w:tcW w:w="1385" w:type="dxa"/>
            <w:shd w:val="clear" w:color="auto" w:fill="auto"/>
            <w:noWrap/>
            <w:vAlign w:val="center"/>
          </w:tcPr>
          <w:p w14:paraId="55B215ED" w14:textId="0A8643AD"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1.5%</w:t>
            </w:r>
          </w:p>
        </w:tc>
      </w:tr>
      <w:tr w:rsidR="00EA735F" w:rsidRPr="00F14474" w14:paraId="529F888E" w14:textId="77777777" w:rsidTr="000D67D9">
        <w:trPr>
          <w:trHeight w:val="20"/>
        </w:trPr>
        <w:tc>
          <w:tcPr>
            <w:tcW w:w="895" w:type="dxa"/>
            <w:shd w:val="clear" w:color="auto" w:fill="auto"/>
            <w:noWrap/>
            <w:vAlign w:val="center"/>
          </w:tcPr>
          <w:p w14:paraId="1B2E1D76" w14:textId="5BDEF9F2"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238910</w:t>
            </w:r>
          </w:p>
        </w:tc>
        <w:tc>
          <w:tcPr>
            <w:tcW w:w="5580" w:type="dxa"/>
            <w:shd w:val="clear" w:color="auto" w:fill="auto"/>
            <w:noWrap/>
            <w:vAlign w:val="center"/>
          </w:tcPr>
          <w:p w14:paraId="532CE98B" w14:textId="1427984D" w:rsidR="00EA735F" w:rsidRPr="00F14474" w:rsidRDefault="00EA735F" w:rsidP="00EA735F">
            <w:pPr>
              <w:spacing w:after="0"/>
              <w:rPr>
                <w:rFonts w:eastAsia="Times New Roman" w:cstheme="minorHAnsi"/>
                <w:color w:val="000000"/>
                <w:sz w:val="20"/>
                <w:szCs w:val="20"/>
                <w:highlight w:val="yellow"/>
              </w:rPr>
            </w:pPr>
            <w:r>
              <w:rPr>
                <w:rFonts w:ascii="Calibri" w:hAnsi="Calibri" w:cs="Calibri"/>
                <w:color w:val="000000"/>
                <w:sz w:val="20"/>
                <w:szCs w:val="20"/>
              </w:rPr>
              <w:t>Site preparation contractors</w:t>
            </w:r>
          </w:p>
        </w:tc>
        <w:tc>
          <w:tcPr>
            <w:tcW w:w="815" w:type="dxa"/>
            <w:shd w:val="clear" w:color="auto" w:fill="auto"/>
            <w:noWrap/>
            <w:vAlign w:val="center"/>
          </w:tcPr>
          <w:p w14:paraId="7D0863BE" w14:textId="4E0A7E37"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10</w:t>
            </w:r>
          </w:p>
        </w:tc>
        <w:tc>
          <w:tcPr>
            <w:tcW w:w="943" w:type="dxa"/>
            <w:shd w:val="clear" w:color="auto" w:fill="auto"/>
            <w:noWrap/>
            <w:vAlign w:val="center"/>
          </w:tcPr>
          <w:p w14:paraId="45E75F97" w14:textId="0398DF52"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116</w:t>
            </w:r>
          </w:p>
        </w:tc>
        <w:tc>
          <w:tcPr>
            <w:tcW w:w="1385" w:type="dxa"/>
            <w:shd w:val="clear" w:color="auto" w:fill="auto"/>
            <w:noWrap/>
            <w:vAlign w:val="center"/>
          </w:tcPr>
          <w:p w14:paraId="584B0F87" w14:textId="1ABC1061"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8.6%</w:t>
            </w:r>
          </w:p>
        </w:tc>
      </w:tr>
      <w:tr w:rsidR="00EA735F" w:rsidRPr="00F14474" w14:paraId="5FF3AEB4" w14:textId="77777777" w:rsidTr="000D67D9">
        <w:trPr>
          <w:trHeight w:val="20"/>
        </w:trPr>
        <w:tc>
          <w:tcPr>
            <w:tcW w:w="895" w:type="dxa"/>
            <w:shd w:val="clear" w:color="auto" w:fill="auto"/>
            <w:noWrap/>
            <w:vAlign w:val="center"/>
          </w:tcPr>
          <w:p w14:paraId="4D46999C" w14:textId="3BCD0692"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238990</w:t>
            </w:r>
          </w:p>
        </w:tc>
        <w:tc>
          <w:tcPr>
            <w:tcW w:w="5580" w:type="dxa"/>
            <w:shd w:val="clear" w:color="auto" w:fill="auto"/>
            <w:noWrap/>
            <w:vAlign w:val="center"/>
          </w:tcPr>
          <w:p w14:paraId="287FD056" w14:textId="4381E4C2" w:rsidR="00EA735F" w:rsidRPr="00F14474" w:rsidRDefault="00EA735F" w:rsidP="00EA735F">
            <w:pPr>
              <w:spacing w:after="0"/>
              <w:rPr>
                <w:rFonts w:eastAsia="Times New Roman" w:cstheme="minorHAnsi"/>
                <w:color w:val="000000"/>
                <w:sz w:val="20"/>
                <w:szCs w:val="20"/>
                <w:highlight w:val="yellow"/>
              </w:rPr>
            </w:pPr>
            <w:r>
              <w:rPr>
                <w:rFonts w:ascii="Calibri" w:hAnsi="Calibri" w:cs="Calibri"/>
                <w:color w:val="000000"/>
                <w:sz w:val="20"/>
                <w:szCs w:val="20"/>
              </w:rPr>
              <w:t>All other specialty trade contractors</w:t>
            </w:r>
          </w:p>
        </w:tc>
        <w:tc>
          <w:tcPr>
            <w:tcW w:w="815" w:type="dxa"/>
            <w:shd w:val="clear" w:color="auto" w:fill="auto"/>
            <w:noWrap/>
            <w:vAlign w:val="center"/>
          </w:tcPr>
          <w:p w14:paraId="4A6844D7" w14:textId="6931B885"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10</w:t>
            </w:r>
          </w:p>
        </w:tc>
        <w:tc>
          <w:tcPr>
            <w:tcW w:w="943" w:type="dxa"/>
            <w:shd w:val="clear" w:color="auto" w:fill="auto"/>
            <w:noWrap/>
            <w:vAlign w:val="center"/>
          </w:tcPr>
          <w:p w14:paraId="1D25BE87" w14:textId="3380C28C"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185</w:t>
            </w:r>
          </w:p>
        </w:tc>
        <w:tc>
          <w:tcPr>
            <w:tcW w:w="1385" w:type="dxa"/>
            <w:shd w:val="clear" w:color="auto" w:fill="auto"/>
            <w:noWrap/>
            <w:vAlign w:val="center"/>
          </w:tcPr>
          <w:p w14:paraId="4C0B1364" w14:textId="6DB454D7"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5.4%</w:t>
            </w:r>
          </w:p>
        </w:tc>
      </w:tr>
      <w:tr w:rsidR="00EA735F" w:rsidRPr="00F14474" w14:paraId="434BFD86" w14:textId="77777777" w:rsidTr="000D67D9">
        <w:trPr>
          <w:trHeight w:val="20"/>
        </w:trPr>
        <w:tc>
          <w:tcPr>
            <w:tcW w:w="895" w:type="dxa"/>
            <w:shd w:val="clear" w:color="auto" w:fill="auto"/>
            <w:noWrap/>
            <w:vAlign w:val="center"/>
          </w:tcPr>
          <w:p w14:paraId="22822541" w14:textId="3A27B018"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333923</w:t>
            </w:r>
          </w:p>
        </w:tc>
        <w:tc>
          <w:tcPr>
            <w:tcW w:w="5580" w:type="dxa"/>
            <w:shd w:val="clear" w:color="auto" w:fill="auto"/>
            <w:noWrap/>
            <w:vAlign w:val="center"/>
          </w:tcPr>
          <w:p w14:paraId="75DBFDBC" w14:textId="1F9B6974" w:rsidR="00EA735F" w:rsidRPr="00F14474" w:rsidRDefault="00EA735F" w:rsidP="00EA735F">
            <w:pPr>
              <w:spacing w:after="0"/>
              <w:rPr>
                <w:rFonts w:eastAsia="Times New Roman" w:cstheme="minorHAnsi"/>
                <w:color w:val="000000"/>
                <w:sz w:val="20"/>
                <w:szCs w:val="20"/>
                <w:highlight w:val="yellow"/>
              </w:rPr>
            </w:pPr>
            <w:r>
              <w:rPr>
                <w:rFonts w:ascii="Calibri" w:hAnsi="Calibri" w:cs="Calibri"/>
                <w:color w:val="000000"/>
                <w:sz w:val="20"/>
                <w:szCs w:val="20"/>
              </w:rPr>
              <w:t>Overhead traveling crane, hoist, and monorail system manufacturing</w:t>
            </w:r>
          </w:p>
        </w:tc>
        <w:tc>
          <w:tcPr>
            <w:tcW w:w="815" w:type="dxa"/>
            <w:shd w:val="clear" w:color="auto" w:fill="auto"/>
            <w:noWrap/>
            <w:vAlign w:val="center"/>
          </w:tcPr>
          <w:p w14:paraId="13A20E4F" w14:textId="28294DBA"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0</w:t>
            </w:r>
          </w:p>
        </w:tc>
        <w:tc>
          <w:tcPr>
            <w:tcW w:w="943" w:type="dxa"/>
            <w:shd w:val="clear" w:color="auto" w:fill="auto"/>
            <w:noWrap/>
            <w:vAlign w:val="center"/>
          </w:tcPr>
          <w:p w14:paraId="4B0BADA9" w14:textId="53979017"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0</w:t>
            </w:r>
          </w:p>
        </w:tc>
        <w:tc>
          <w:tcPr>
            <w:tcW w:w="1385" w:type="dxa"/>
            <w:shd w:val="clear" w:color="auto" w:fill="auto"/>
            <w:noWrap/>
            <w:vAlign w:val="center"/>
          </w:tcPr>
          <w:p w14:paraId="1A1218BE" w14:textId="787FB30B"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0.0%</w:t>
            </w:r>
          </w:p>
        </w:tc>
      </w:tr>
      <w:tr w:rsidR="00EA735F" w:rsidRPr="00F14474" w14:paraId="33770C56" w14:textId="77777777" w:rsidTr="000D67D9">
        <w:trPr>
          <w:trHeight w:val="20"/>
        </w:trPr>
        <w:tc>
          <w:tcPr>
            <w:tcW w:w="895" w:type="dxa"/>
            <w:shd w:val="clear" w:color="auto" w:fill="auto"/>
            <w:noWrap/>
            <w:vAlign w:val="center"/>
          </w:tcPr>
          <w:p w14:paraId="5549E8FA" w14:textId="5604B464"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lastRenderedPageBreak/>
              <w:t>541330</w:t>
            </w:r>
          </w:p>
        </w:tc>
        <w:tc>
          <w:tcPr>
            <w:tcW w:w="5580" w:type="dxa"/>
            <w:shd w:val="clear" w:color="auto" w:fill="auto"/>
            <w:noWrap/>
            <w:vAlign w:val="center"/>
          </w:tcPr>
          <w:p w14:paraId="0F7B9CDC" w14:textId="0D8942DD" w:rsidR="00EA735F" w:rsidRPr="00F14474" w:rsidRDefault="00EA735F" w:rsidP="00EA735F">
            <w:pPr>
              <w:spacing w:after="0"/>
              <w:rPr>
                <w:rFonts w:eastAsia="Times New Roman" w:cstheme="minorHAnsi"/>
                <w:color w:val="000000"/>
                <w:sz w:val="20"/>
                <w:szCs w:val="20"/>
                <w:highlight w:val="yellow"/>
              </w:rPr>
            </w:pPr>
            <w:r>
              <w:rPr>
                <w:rFonts w:ascii="Calibri" w:hAnsi="Calibri" w:cs="Calibri"/>
                <w:color w:val="000000"/>
                <w:sz w:val="20"/>
                <w:szCs w:val="20"/>
              </w:rPr>
              <w:t>Engineering services</w:t>
            </w:r>
          </w:p>
        </w:tc>
        <w:tc>
          <w:tcPr>
            <w:tcW w:w="815" w:type="dxa"/>
            <w:shd w:val="clear" w:color="auto" w:fill="auto"/>
            <w:noWrap/>
            <w:vAlign w:val="center"/>
          </w:tcPr>
          <w:p w14:paraId="143D55D4" w14:textId="65D6C64A"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21</w:t>
            </w:r>
          </w:p>
        </w:tc>
        <w:tc>
          <w:tcPr>
            <w:tcW w:w="943" w:type="dxa"/>
            <w:shd w:val="clear" w:color="auto" w:fill="auto"/>
            <w:noWrap/>
            <w:vAlign w:val="center"/>
          </w:tcPr>
          <w:p w14:paraId="10125872" w14:textId="7B81F2F3"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394</w:t>
            </w:r>
          </w:p>
        </w:tc>
        <w:tc>
          <w:tcPr>
            <w:tcW w:w="1385" w:type="dxa"/>
            <w:shd w:val="clear" w:color="auto" w:fill="auto"/>
            <w:noWrap/>
            <w:vAlign w:val="center"/>
          </w:tcPr>
          <w:p w14:paraId="2AD7CA42" w14:textId="43524DF6"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5.3%</w:t>
            </w:r>
          </w:p>
        </w:tc>
      </w:tr>
      <w:tr w:rsidR="00EA735F" w:rsidRPr="00F14474" w14:paraId="158F9400" w14:textId="77777777" w:rsidTr="000D67D9">
        <w:trPr>
          <w:trHeight w:val="20"/>
        </w:trPr>
        <w:tc>
          <w:tcPr>
            <w:tcW w:w="895" w:type="dxa"/>
            <w:shd w:val="clear" w:color="auto" w:fill="auto"/>
            <w:noWrap/>
            <w:vAlign w:val="center"/>
          </w:tcPr>
          <w:p w14:paraId="79210838" w14:textId="4785AF9B"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561730</w:t>
            </w:r>
          </w:p>
        </w:tc>
        <w:tc>
          <w:tcPr>
            <w:tcW w:w="5580" w:type="dxa"/>
            <w:shd w:val="clear" w:color="auto" w:fill="auto"/>
            <w:noWrap/>
            <w:vAlign w:val="center"/>
          </w:tcPr>
          <w:p w14:paraId="03454967" w14:textId="6EAEB3F5" w:rsidR="00EA735F" w:rsidRPr="00F14474" w:rsidRDefault="00EA735F" w:rsidP="00EA735F">
            <w:pPr>
              <w:spacing w:after="0"/>
              <w:rPr>
                <w:rFonts w:eastAsia="Times New Roman" w:cstheme="minorHAnsi"/>
                <w:color w:val="000000"/>
                <w:sz w:val="20"/>
                <w:szCs w:val="20"/>
                <w:highlight w:val="yellow"/>
              </w:rPr>
            </w:pPr>
            <w:r>
              <w:rPr>
                <w:rFonts w:ascii="Calibri" w:hAnsi="Calibri" w:cs="Calibri"/>
                <w:color w:val="000000"/>
                <w:sz w:val="20"/>
                <w:szCs w:val="20"/>
              </w:rPr>
              <w:t>Landscaping services</w:t>
            </w:r>
          </w:p>
        </w:tc>
        <w:tc>
          <w:tcPr>
            <w:tcW w:w="815" w:type="dxa"/>
            <w:shd w:val="clear" w:color="auto" w:fill="auto"/>
            <w:noWrap/>
            <w:vAlign w:val="center"/>
          </w:tcPr>
          <w:p w14:paraId="141DAE0A" w14:textId="3F3AB85D"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4</w:t>
            </w:r>
          </w:p>
        </w:tc>
        <w:tc>
          <w:tcPr>
            <w:tcW w:w="943" w:type="dxa"/>
            <w:shd w:val="clear" w:color="auto" w:fill="auto"/>
            <w:noWrap/>
            <w:vAlign w:val="center"/>
          </w:tcPr>
          <w:p w14:paraId="51AA8343" w14:textId="4ABF9316"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525</w:t>
            </w:r>
          </w:p>
        </w:tc>
        <w:tc>
          <w:tcPr>
            <w:tcW w:w="1385" w:type="dxa"/>
            <w:shd w:val="clear" w:color="auto" w:fill="auto"/>
            <w:noWrap/>
            <w:vAlign w:val="center"/>
          </w:tcPr>
          <w:p w14:paraId="157A72B7" w14:textId="327AA1E3" w:rsidR="00EA735F" w:rsidRPr="00F14474" w:rsidRDefault="00EA735F" w:rsidP="00EA735F">
            <w:pPr>
              <w:spacing w:after="0"/>
              <w:jc w:val="center"/>
              <w:rPr>
                <w:rFonts w:eastAsia="Times New Roman" w:cstheme="minorHAnsi"/>
                <w:color w:val="000000"/>
                <w:sz w:val="20"/>
                <w:szCs w:val="20"/>
                <w:highlight w:val="yellow"/>
              </w:rPr>
            </w:pPr>
            <w:r>
              <w:rPr>
                <w:rFonts w:ascii="Calibri" w:hAnsi="Calibri" w:cs="Calibri"/>
                <w:color w:val="000000"/>
                <w:sz w:val="20"/>
                <w:szCs w:val="20"/>
              </w:rPr>
              <w:t>0.8%</w:t>
            </w:r>
          </w:p>
        </w:tc>
      </w:tr>
      <w:tr w:rsidR="00A04400" w:rsidRPr="00F14474" w14:paraId="13AB8E5C" w14:textId="77777777" w:rsidTr="0026547C">
        <w:trPr>
          <w:trHeight w:val="20"/>
        </w:trPr>
        <w:tc>
          <w:tcPr>
            <w:tcW w:w="895" w:type="dxa"/>
            <w:shd w:val="clear" w:color="auto" w:fill="444444" w:themeFill="text1"/>
            <w:noWrap/>
            <w:hideMark/>
          </w:tcPr>
          <w:p w14:paraId="406F5CF5" w14:textId="77777777" w:rsidR="00A04400" w:rsidRPr="00F14474" w:rsidRDefault="00A04400" w:rsidP="00287D37">
            <w:pPr>
              <w:spacing w:after="0"/>
              <w:jc w:val="center"/>
              <w:rPr>
                <w:rFonts w:eastAsia="Times New Roman" w:cstheme="minorHAnsi"/>
                <w:b/>
                <w:bCs/>
                <w:color w:val="FFFFFF" w:themeColor="background1"/>
                <w:sz w:val="20"/>
                <w:szCs w:val="20"/>
                <w:highlight w:val="yellow"/>
              </w:rPr>
            </w:pPr>
            <w:r w:rsidRPr="00A04400">
              <w:rPr>
                <w:rFonts w:cstheme="minorHAnsi"/>
                <w:b/>
                <w:bCs/>
                <w:color w:val="FFFFFF" w:themeColor="background1"/>
                <w:sz w:val="20"/>
                <w:szCs w:val="20"/>
              </w:rPr>
              <w:t>Total</w:t>
            </w:r>
          </w:p>
        </w:tc>
        <w:tc>
          <w:tcPr>
            <w:tcW w:w="5580" w:type="dxa"/>
            <w:shd w:val="clear" w:color="auto" w:fill="444444" w:themeFill="text1"/>
            <w:noWrap/>
            <w:hideMark/>
          </w:tcPr>
          <w:p w14:paraId="0B4DF5CE" w14:textId="77777777" w:rsidR="00A04400" w:rsidRPr="00F14474" w:rsidRDefault="00A04400" w:rsidP="00287D37">
            <w:pPr>
              <w:spacing w:after="0"/>
              <w:jc w:val="center"/>
              <w:rPr>
                <w:rFonts w:eastAsia="Times New Roman" w:cstheme="minorHAnsi"/>
                <w:b/>
                <w:bCs/>
                <w:color w:val="FFFFFF" w:themeColor="background1"/>
                <w:sz w:val="20"/>
                <w:szCs w:val="20"/>
                <w:highlight w:val="yellow"/>
              </w:rPr>
            </w:pPr>
          </w:p>
        </w:tc>
        <w:tc>
          <w:tcPr>
            <w:tcW w:w="815" w:type="dxa"/>
            <w:shd w:val="clear" w:color="auto" w:fill="444444" w:themeFill="text1"/>
            <w:noWrap/>
            <w:vAlign w:val="center"/>
            <w:hideMark/>
          </w:tcPr>
          <w:p w14:paraId="48DB884C" w14:textId="3266CE9E" w:rsidR="00A04400" w:rsidRPr="00F14474" w:rsidRDefault="00A04400" w:rsidP="00287D37">
            <w:pPr>
              <w:spacing w:after="0"/>
              <w:jc w:val="center"/>
              <w:rPr>
                <w:rFonts w:eastAsia="Times New Roman" w:cstheme="minorHAnsi"/>
                <w:b/>
                <w:bCs/>
                <w:color w:val="FFFFFF" w:themeColor="background1"/>
                <w:sz w:val="20"/>
                <w:szCs w:val="20"/>
                <w:highlight w:val="yellow"/>
              </w:rPr>
            </w:pPr>
            <w:r w:rsidRPr="00F14474">
              <w:rPr>
                <w:rFonts w:cstheme="minorHAnsi"/>
                <w:b/>
                <w:bCs/>
                <w:color w:val="FFFFFF" w:themeColor="background1"/>
                <w:sz w:val="20"/>
                <w:szCs w:val="20"/>
              </w:rPr>
              <w:t xml:space="preserve"> </w:t>
            </w:r>
            <w:r w:rsidR="00265FAB">
              <w:rPr>
                <w:rFonts w:cstheme="minorHAnsi"/>
                <w:b/>
                <w:bCs/>
                <w:color w:val="FFFFFF" w:themeColor="background1"/>
                <w:sz w:val="20"/>
                <w:szCs w:val="20"/>
              </w:rPr>
              <w:t>58</w:t>
            </w:r>
          </w:p>
        </w:tc>
        <w:tc>
          <w:tcPr>
            <w:tcW w:w="943" w:type="dxa"/>
            <w:shd w:val="clear" w:color="auto" w:fill="444444" w:themeFill="text1"/>
            <w:noWrap/>
            <w:vAlign w:val="bottom"/>
            <w:hideMark/>
          </w:tcPr>
          <w:p w14:paraId="2908A8BF" w14:textId="08F168ED" w:rsidR="00A04400" w:rsidRPr="00F14474" w:rsidRDefault="00265FAB" w:rsidP="00287D37">
            <w:pPr>
              <w:spacing w:after="0"/>
              <w:jc w:val="center"/>
              <w:rPr>
                <w:rFonts w:eastAsia="Times New Roman" w:cstheme="minorHAnsi"/>
                <w:b/>
                <w:bCs/>
                <w:color w:val="FFFFFF" w:themeColor="background1"/>
                <w:sz w:val="20"/>
                <w:szCs w:val="20"/>
                <w:highlight w:val="yellow"/>
              </w:rPr>
            </w:pPr>
            <w:r>
              <w:rPr>
                <w:rFonts w:cstheme="minorHAnsi"/>
                <w:b/>
                <w:bCs/>
                <w:color w:val="FFFFFF" w:themeColor="background1"/>
                <w:sz w:val="20"/>
                <w:szCs w:val="20"/>
              </w:rPr>
              <w:t>1</w:t>
            </w:r>
            <w:r w:rsidR="00A04400" w:rsidRPr="00F14474">
              <w:rPr>
                <w:rFonts w:cstheme="minorHAnsi"/>
                <w:b/>
                <w:bCs/>
                <w:color w:val="FFFFFF" w:themeColor="background1"/>
                <w:sz w:val="20"/>
                <w:szCs w:val="20"/>
              </w:rPr>
              <w:t>,</w:t>
            </w:r>
            <w:r>
              <w:rPr>
                <w:rFonts w:cstheme="minorHAnsi"/>
                <w:b/>
                <w:bCs/>
                <w:color w:val="FFFFFF" w:themeColor="background1"/>
                <w:sz w:val="20"/>
                <w:szCs w:val="20"/>
              </w:rPr>
              <w:t>904</w:t>
            </w:r>
            <w:r w:rsidR="00A04400" w:rsidRPr="00F14474">
              <w:rPr>
                <w:rFonts w:cstheme="minorHAnsi"/>
                <w:b/>
                <w:bCs/>
                <w:color w:val="FFFFFF" w:themeColor="background1"/>
                <w:sz w:val="20"/>
                <w:szCs w:val="20"/>
              </w:rPr>
              <w:t xml:space="preserve"> </w:t>
            </w:r>
          </w:p>
        </w:tc>
        <w:tc>
          <w:tcPr>
            <w:tcW w:w="1385" w:type="dxa"/>
            <w:shd w:val="clear" w:color="auto" w:fill="444444" w:themeFill="text1"/>
            <w:noWrap/>
            <w:vAlign w:val="bottom"/>
            <w:hideMark/>
          </w:tcPr>
          <w:p w14:paraId="4C3E78C2" w14:textId="7CAD4A5A" w:rsidR="00A04400" w:rsidRPr="00F14474" w:rsidRDefault="00A04400" w:rsidP="00287D37">
            <w:pPr>
              <w:spacing w:after="0"/>
              <w:jc w:val="center"/>
              <w:rPr>
                <w:rFonts w:eastAsia="Times New Roman" w:cstheme="minorHAnsi"/>
                <w:b/>
                <w:bCs/>
                <w:color w:val="FFFFFF" w:themeColor="background1"/>
                <w:sz w:val="20"/>
                <w:szCs w:val="20"/>
                <w:highlight w:val="yellow"/>
              </w:rPr>
            </w:pPr>
            <w:r w:rsidRPr="00F14474">
              <w:rPr>
                <w:rFonts w:cstheme="minorHAnsi"/>
                <w:b/>
                <w:bCs/>
                <w:color w:val="FFFFFF" w:themeColor="background1"/>
                <w:sz w:val="20"/>
                <w:szCs w:val="20"/>
              </w:rPr>
              <w:t>3.</w:t>
            </w:r>
            <w:r w:rsidR="00265FAB">
              <w:rPr>
                <w:rFonts w:cstheme="minorHAnsi"/>
                <w:b/>
                <w:bCs/>
                <w:color w:val="FFFFFF" w:themeColor="background1"/>
                <w:sz w:val="20"/>
                <w:szCs w:val="20"/>
              </w:rPr>
              <w:t>0</w:t>
            </w:r>
            <w:r w:rsidRPr="00F14474">
              <w:rPr>
                <w:rFonts w:cstheme="minorHAnsi"/>
                <w:b/>
                <w:bCs/>
                <w:color w:val="FFFFFF" w:themeColor="background1"/>
                <w:sz w:val="20"/>
                <w:szCs w:val="20"/>
              </w:rPr>
              <w:t>%</w:t>
            </w:r>
          </w:p>
        </w:tc>
      </w:tr>
    </w:tbl>
    <w:p w14:paraId="378117C5" w14:textId="6D76FD66" w:rsidR="00A04400" w:rsidRPr="00196305" w:rsidRDefault="00A04400" w:rsidP="00A04400">
      <w:pPr>
        <w:spacing w:before="240"/>
      </w:pPr>
      <w:bookmarkStart w:id="9" w:name="_Toc478465258"/>
      <w:bookmarkStart w:id="10" w:name="_Toc478542635"/>
      <w:bookmarkStart w:id="11" w:name="_Toc478543097"/>
      <w:r w:rsidRPr="00265FAB">
        <w:t>The relative availability of DBEs from Table 4 is 3.</w:t>
      </w:r>
      <w:r w:rsidR="00265FAB" w:rsidRPr="00265FAB">
        <w:t>0</w:t>
      </w:r>
      <w:r w:rsidRPr="00265FAB">
        <w:t xml:space="preserve"> %. However, to make the Base Figure more accurate, weighting was used to take into account the amount of work that is available for each category of work (NAICS).</w:t>
      </w:r>
      <w:r w:rsidRPr="00196305">
        <w:t xml:space="preserve"> </w:t>
      </w:r>
    </w:p>
    <w:p w14:paraId="6E79AAD1" w14:textId="77777777" w:rsidR="00A04400" w:rsidRDefault="00A04400" w:rsidP="00A04400">
      <w:r w:rsidRPr="00196305">
        <w:t xml:space="preserve">The weighted relative availability of DBEs is calculated in Table 5 below. </w:t>
      </w:r>
    </w:p>
    <w:p w14:paraId="560DB448" w14:textId="77777777" w:rsidR="00110F75" w:rsidRPr="00E07F8A" w:rsidRDefault="00110F75" w:rsidP="00E07F8A">
      <w:pPr>
        <w:autoSpaceDE w:val="0"/>
        <w:autoSpaceDN w:val="0"/>
        <w:adjustRightInd w:val="0"/>
        <w:spacing w:after="0"/>
        <w:jc w:val="both"/>
        <w:rPr>
          <w:rFonts w:eastAsia="Times New Roman" w:cstheme="minorHAnsi"/>
        </w:rPr>
      </w:pPr>
    </w:p>
    <w:p w14:paraId="4C9B145A" w14:textId="77777777" w:rsidR="00A04400" w:rsidRPr="00196305" w:rsidRDefault="00A04400" w:rsidP="00A04400">
      <w:pPr>
        <w:autoSpaceDE w:val="0"/>
        <w:autoSpaceDN w:val="0"/>
        <w:adjustRightInd w:val="0"/>
        <w:spacing w:after="0"/>
        <w:jc w:val="center"/>
        <w:rPr>
          <w:rFonts w:eastAsia="Times New Roman" w:cstheme="minorHAnsi"/>
          <w:b/>
          <w:szCs w:val="20"/>
        </w:rPr>
      </w:pPr>
      <w:r w:rsidRPr="00196305">
        <w:rPr>
          <w:rFonts w:eastAsia="Times New Roman" w:cstheme="minorHAnsi"/>
          <w:b/>
          <w:szCs w:val="20"/>
        </w:rPr>
        <w:t>TABLE 5: DBE Weighted Relative Availability</w:t>
      </w:r>
    </w:p>
    <w:p w14:paraId="7468A76B" w14:textId="77777777" w:rsidR="00A04400" w:rsidRPr="00196305" w:rsidRDefault="00A04400" w:rsidP="00A04400">
      <w:pPr>
        <w:autoSpaceDE w:val="0"/>
        <w:autoSpaceDN w:val="0"/>
        <w:adjustRightInd w:val="0"/>
        <w:spacing w:after="0"/>
        <w:jc w:val="center"/>
        <w:rPr>
          <w:rFonts w:eastAsia="Times New Roman" w:cstheme="minorHAnsi"/>
          <w:bCs/>
          <w:i/>
          <w:iCs/>
          <w:szCs w:val="20"/>
        </w:rPr>
      </w:pPr>
      <w:r w:rsidRPr="00196305">
        <w:rPr>
          <w:rFonts w:eastAsia="Times New Roman" w:cstheme="minorHAnsi"/>
          <w:bCs/>
          <w:i/>
          <w:iCs/>
          <w:szCs w:val="20"/>
        </w:rPr>
        <w:t>(amounts subject to rounding differences)</w:t>
      </w:r>
    </w:p>
    <w:tbl>
      <w:tblPr>
        <w:tblW w:w="9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11"/>
        <w:gridCol w:w="4896"/>
        <w:gridCol w:w="1134"/>
        <w:gridCol w:w="35"/>
        <w:gridCol w:w="1225"/>
        <w:gridCol w:w="18"/>
        <w:gridCol w:w="1242"/>
      </w:tblGrid>
      <w:tr w:rsidR="00A04400" w:rsidRPr="00F14474" w14:paraId="3F458935" w14:textId="77777777" w:rsidTr="00287D37">
        <w:trPr>
          <w:trHeight w:val="60"/>
          <w:tblHeader/>
        </w:trPr>
        <w:tc>
          <w:tcPr>
            <w:tcW w:w="884" w:type="dxa"/>
            <w:shd w:val="clear" w:color="auto" w:fill="444444" w:themeFill="text1"/>
            <w:vAlign w:val="center"/>
            <w:hideMark/>
          </w:tcPr>
          <w:p w14:paraId="6DEBB532" w14:textId="2BDC636B" w:rsidR="00A04400" w:rsidRPr="00F14474" w:rsidRDefault="004F5511" w:rsidP="00287D37">
            <w:pPr>
              <w:spacing w:after="0"/>
              <w:jc w:val="center"/>
              <w:rPr>
                <w:rFonts w:ascii="Calibri" w:eastAsia="Times New Roman" w:hAnsi="Calibri" w:cs="Calibri"/>
                <w:b/>
                <w:bCs/>
                <w:color w:val="FFFFFF"/>
                <w:sz w:val="20"/>
                <w:szCs w:val="20"/>
              </w:rPr>
            </w:pPr>
            <w:r w:rsidRPr="00F14474">
              <w:rPr>
                <w:rFonts w:ascii="Calibri" w:eastAsia="Times New Roman" w:hAnsi="Calibri" w:cs="Calibri"/>
                <w:b/>
                <w:bCs/>
                <w:color w:val="FFFFFF"/>
                <w:sz w:val="20"/>
                <w:szCs w:val="20"/>
              </w:rPr>
              <w:t>NAICS CODE</w:t>
            </w:r>
          </w:p>
        </w:tc>
        <w:tc>
          <w:tcPr>
            <w:tcW w:w="4907" w:type="dxa"/>
            <w:gridSpan w:val="2"/>
            <w:shd w:val="clear" w:color="auto" w:fill="444444" w:themeFill="text1"/>
            <w:vAlign w:val="center"/>
            <w:hideMark/>
          </w:tcPr>
          <w:p w14:paraId="06932CCA" w14:textId="3BC1016D" w:rsidR="00A04400" w:rsidRPr="00F14474" w:rsidRDefault="004F5511" w:rsidP="00287D37">
            <w:pPr>
              <w:spacing w:after="0"/>
              <w:jc w:val="center"/>
              <w:rPr>
                <w:rFonts w:ascii="Calibri" w:eastAsia="Times New Roman" w:hAnsi="Calibri" w:cs="Calibri"/>
                <w:b/>
                <w:bCs/>
                <w:color w:val="FFFFFF"/>
                <w:sz w:val="20"/>
                <w:szCs w:val="20"/>
              </w:rPr>
            </w:pPr>
            <w:r w:rsidRPr="00F14474">
              <w:rPr>
                <w:rFonts w:ascii="Calibri" w:eastAsia="Times New Roman" w:hAnsi="Calibri" w:cs="Calibri"/>
                <w:b/>
                <w:bCs/>
                <w:color w:val="FFFFFF"/>
                <w:sz w:val="20"/>
                <w:szCs w:val="20"/>
              </w:rPr>
              <w:t>CATEGORY OF WORK</w:t>
            </w:r>
          </w:p>
        </w:tc>
        <w:tc>
          <w:tcPr>
            <w:tcW w:w="1169" w:type="dxa"/>
            <w:gridSpan w:val="2"/>
            <w:shd w:val="clear" w:color="auto" w:fill="444444" w:themeFill="text1"/>
            <w:vAlign w:val="center"/>
            <w:hideMark/>
          </w:tcPr>
          <w:p w14:paraId="5729EAF8" w14:textId="2FDF9D96" w:rsidR="00A04400" w:rsidRPr="00F14474" w:rsidRDefault="004F5511" w:rsidP="00287D37">
            <w:pPr>
              <w:spacing w:after="0"/>
              <w:jc w:val="center"/>
              <w:rPr>
                <w:rFonts w:ascii="Calibri" w:eastAsia="Times New Roman" w:hAnsi="Calibri" w:cs="Calibri"/>
                <w:b/>
                <w:bCs/>
                <w:color w:val="FFFFFF"/>
                <w:sz w:val="20"/>
                <w:szCs w:val="20"/>
              </w:rPr>
            </w:pPr>
            <w:r w:rsidRPr="00F14474">
              <w:rPr>
                <w:rFonts w:ascii="Calibri" w:eastAsia="Times New Roman" w:hAnsi="Calibri" w:cs="Calibri"/>
                <w:b/>
                <w:bCs/>
                <w:color w:val="FFFFFF"/>
                <w:sz w:val="20"/>
                <w:szCs w:val="20"/>
              </w:rPr>
              <w:t>EST</w:t>
            </w:r>
            <w:r>
              <w:rPr>
                <w:rFonts w:ascii="Calibri" w:eastAsia="Times New Roman" w:hAnsi="Calibri" w:cs="Calibri"/>
                <w:b/>
                <w:bCs/>
                <w:color w:val="FFFFFF"/>
                <w:sz w:val="20"/>
                <w:szCs w:val="20"/>
              </w:rPr>
              <w:t>.</w:t>
            </w:r>
            <w:r w:rsidRPr="00F14474">
              <w:rPr>
                <w:rFonts w:ascii="Calibri" w:eastAsia="Times New Roman" w:hAnsi="Calibri" w:cs="Calibri"/>
                <w:b/>
                <w:bCs/>
                <w:color w:val="FFFFFF"/>
                <w:sz w:val="20"/>
                <w:szCs w:val="20"/>
              </w:rPr>
              <w:t xml:space="preserve"> F</w:t>
            </w:r>
            <w:r>
              <w:rPr>
                <w:rFonts w:ascii="Calibri" w:eastAsia="Times New Roman" w:hAnsi="Calibri" w:cs="Calibri"/>
                <w:b/>
                <w:bCs/>
                <w:color w:val="FFFFFF"/>
                <w:sz w:val="20"/>
                <w:szCs w:val="20"/>
              </w:rPr>
              <w:t>T</w:t>
            </w:r>
            <w:r w:rsidRPr="00F14474">
              <w:rPr>
                <w:rFonts w:ascii="Calibri" w:eastAsia="Times New Roman" w:hAnsi="Calibri" w:cs="Calibri"/>
                <w:b/>
                <w:bCs/>
                <w:color w:val="FFFFFF"/>
                <w:sz w:val="20"/>
                <w:szCs w:val="20"/>
              </w:rPr>
              <w:t>A % BY NAICS</w:t>
            </w:r>
            <w:r w:rsidR="00A04400" w:rsidRPr="00F14474">
              <w:rPr>
                <w:rStyle w:val="FootnoteReference"/>
                <w:rFonts w:ascii="Calibri" w:eastAsia="Times New Roman" w:hAnsi="Calibri" w:cs="Calibri"/>
                <w:b/>
                <w:bCs/>
                <w:color w:val="FFFFFF"/>
                <w:sz w:val="20"/>
                <w:szCs w:val="20"/>
              </w:rPr>
              <w:footnoteReference w:id="15"/>
            </w:r>
          </w:p>
        </w:tc>
        <w:tc>
          <w:tcPr>
            <w:tcW w:w="1243" w:type="dxa"/>
            <w:gridSpan w:val="2"/>
            <w:shd w:val="clear" w:color="auto" w:fill="444444" w:themeFill="text1"/>
            <w:vAlign w:val="center"/>
            <w:hideMark/>
          </w:tcPr>
          <w:p w14:paraId="7E27FEA9" w14:textId="221C9733" w:rsidR="00A04400" w:rsidRPr="00F14474" w:rsidRDefault="004F5511" w:rsidP="00287D37">
            <w:pPr>
              <w:spacing w:after="0"/>
              <w:jc w:val="center"/>
              <w:rPr>
                <w:rFonts w:ascii="Calibri" w:eastAsia="Times New Roman" w:hAnsi="Calibri" w:cs="Calibri"/>
                <w:b/>
                <w:bCs/>
                <w:color w:val="FFFFFF"/>
                <w:sz w:val="20"/>
                <w:szCs w:val="20"/>
              </w:rPr>
            </w:pPr>
            <w:r w:rsidRPr="00F14474">
              <w:rPr>
                <w:rFonts w:ascii="Calibri" w:eastAsia="Times New Roman" w:hAnsi="Calibri" w:cs="Calibri"/>
                <w:b/>
                <w:bCs/>
                <w:color w:val="FFFFFF"/>
                <w:sz w:val="20"/>
                <w:szCs w:val="20"/>
              </w:rPr>
              <w:t>REL. AVAL.</w:t>
            </w:r>
            <w:r w:rsidR="00A04400" w:rsidRPr="00F14474">
              <w:rPr>
                <w:rStyle w:val="FootnoteReference"/>
                <w:rFonts w:ascii="Calibri" w:eastAsia="Times New Roman" w:hAnsi="Calibri" w:cs="Calibri"/>
                <w:b/>
                <w:bCs/>
                <w:color w:val="FFFFFF"/>
                <w:sz w:val="20"/>
                <w:szCs w:val="20"/>
              </w:rPr>
              <w:footnoteReference w:id="16"/>
            </w:r>
          </w:p>
        </w:tc>
        <w:tc>
          <w:tcPr>
            <w:tcW w:w="1242" w:type="dxa"/>
            <w:shd w:val="clear" w:color="auto" w:fill="444444" w:themeFill="text1"/>
            <w:vAlign w:val="center"/>
            <w:hideMark/>
          </w:tcPr>
          <w:p w14:paraId="5F61A00A" w14:textId="05F821D0" w:rsidR="00A04400" w:rsidRPr="00F14474" w:rsidRDefault="004F5511" w:rsidP="00287D37">
            <w:pPr>
              <w:spacing w:after="0"/>
              <w:jc w:val="center"/>
              <w:rPr>
                <w:rFonts w:ascii="Calibri" w:eastAsia="Times New Roman" w:hAnsi="Calibri" w:cs="Calibri"/>
                <w:b/>
                <w:bCs/>
                <w:color w:val="FFFFFF"/>
                <w:sz w:val="20"/>
                <w:szCs w:val="20"/>
              </w:rPr>
            </w:pPr>
            <w:r w:rsidRPr="00F14474">
              <w:rPr>
                <w:rFonts w:ascii="Calibri" w:eastAsia="Times New Roman" w:hAnsi="Calibri" w:cs="Calibri"/>
                <w:b/>
                <w:bCs/>
                <w:color w:val="FFFFFF"/>
                <w:sz w:val="20"/>
                <w:szCs w:val="20"/>
              </w:rPr>
              <w:t>WEIGHTED RATIO</w:t>
            </w:r>
            <w:r w:rsidR="00A04400" w:rsidRPr="00F14474">
              <w:rPr>
                <w:rStyle w:val="FootnoteReference"/>
                <w:rFonts w:ascii="Calibri" w:eastAsia="Times New Roman" w:hAnsi="Calibri" w:cs="Calibri"/>
                <w:b/>
                <w:bCs/>
                <w:color w:val="FFFFFF"/>
                <w:sz w:val="20"/>
                <w:szCs w:val="20"/>
              </w:rPr>
              <w:footnoteReference w:id="17"/>
            </w:r>
          </w:p>
        </w:tc>
      </w:tr>
      <w:tr w:rsidR="00110F75" w:rsidRPr="00F14474" w14:paraId="4B30D57F" w14:textId="77777777" w:rsidTr="00185B97">
        <w:trPr>
          <w:trHeight w:val="300"/>
        </w:trPr>
        <w:tc>
          <w:tcPr>
            <w:tcW w:w="895" w:type="dxa"/>
            <w:gridSpan w:val="2"/>
            <w:shd w:val="clear" w:color="auto" w:fill="auto"/>
            <w:noWrap/>
            <w:vAlign w:val="center"/>
          </w:tcPr>
          <w:p w14:paraId="69AD8D78" w14:textId="088CDFC2" w:rsidR="00110F75" w:rsidRPr="00F14474" w:rsidRDefault="00110F75" w:rsidP="00110F75">
            <w:pPr>
              <w:spacing w:after="0"/>
              <w:jc w:val="center"/>
              <w:rPr>
                <w:rFonts w:eastAsia="Times New Roman" w:cstheme="minorHAnsi"/>
                <w:color w:val="000000"/>
                <w:sz w:val="20"/>
                <w:szCs w:val="20"/>
                <w:highlight w:val="yellow"/>
              </w:rPr>
            </w:pPr>
            <w:r>
              <w:rPr>
                <w:rFonts w:ascii="Calibri" w:hAnsi="Calibri" w:cs="Calibri"/>
                <w:color w:val="000000"/>
                <w:sz w:val="20"/>
                <w:szCs w:val="20"/>
              </w:rPr>
              <w:t>236220</w:t>
            </w:r>
          </w:p>
        </w:tc>
        <w:tc>
          <w:tcPr>
            <w:tcW w:w="4896" w:type="dxa"/>
            <w:shd w:val="clear" w:color="auto" w:fill="auto"/>
            <w:vAlign w:val="center"/>
          </w:tcPr>
          <w:p w14:paraId="42191EEB" w14:textId="1F70C5F5" w:rsidR="00110F75" w:rsidRPr="00F14474" w:rsidRDefault="00110F75" w:rsidP="00110F75">
            <w:pPr>
              <w:spacing w:after="0"/>
              <w:rPr>
                <w:rFonts w:eastAsia="Times New Roman" w:cstheme="minorHAnsi"/>
                <w:color w:val="000000"/>
                <w:sz w:val="20"/>
                <w:szCs w:val="20"/>
                <w:highlight w:val="yellow"/>
              </w:rPr>
            </w:pPr>
            <w:r>
              <w:rPr>
                <w:rFonts w:ascii="Calibri" w:hAnsi="Calibri" w:cs="Calibri"/>
                <w:color w:val="000000"/>
                <w:sz w:val="20"/>
                <w:szCs w:val="20"/>
              </w:rPr>
              <w:t>Commercial and institutional building construction</w:t>
            </w:r>
          </w:p>
        </w:tc>
        <w:tc>
          <w:tcPr>
            <w:tcW w:w="1134" w:type="dxa"/>
            <w:shd w:val="clear" w:color="auto" w:fill="auto"/>
            <w:noWrap/>
            <w:vAlign w:val="center"/>
          </w:tcPr>
          <w:p w14:paraId="58C3ED8B" w14:textId="44670F7C" w:rsidR="00110F75" w:rsidRPr="00F14474" w:rsidRDefault="00110F75" w:rsidP="00110F75">
            <w:pPr>
              <w:spacing w:after="0"/>
              <w:jc w:val="center"/>
              <w:rPr>
                <w:rFonts w:eastAsia="Times New Roman" w:cstheme="minorHAnsi"/>
                <w:color w:val="000000"/>
                <w:sz w:val="20"/>
                <w:szCs w:val="20"/>
                <w:highlight w:val="yellow"/>
              </w:rPr>
            </w:pPr>
            <w:r>
              <w:rPr>
                <w:rFonts w:ascii="Calibri" w:hAnsi="Calibri" w:cs="Calibri"/>
                <w:color w:val="000000"/>
                <w:sz w:val="20"/>
                <w:szCs w:val="20"/>
              </w:rPr>
              <w:t>45.7%</w:t>
            </w:r>
          </w:p>
        </w:tc>
        <w:tc>
          <w:tcPr>
            <w:tcW w:w="1260" w:type="dxa"/>
            <w:gridSpan w:val="2"/>
            <w:shd w:val="clear" w:color="auto" w:fill="auto"/>
            <w:noWrap/>
            <w:vAlign w:val="center"/>
          </w:tcPr>
          <w:p w14:paraId="6F7CD4F8" w14:textId="40C9ECD3" w:rsidR="00110F75" w:rsidRPr="00F14474" w:rsidRDefault="00110F75" w:rsidP="00110F75">
            <w:pPr>
              <w:spacing w:after="0"/>
              <w:jc w:val="center"/>
              <w:rPr>
                <w:rFonts w:eastAsia="Times New Roman" w:cstheme="minorHAnsi"/>
                <w:color w:val="000000"/>
                <w:sz w:val="20"/>
                <w:szCs w:val="20"/>
                <w:highlight w:val="yellow"/>
              </w:rPr>
            </w:pPr>
            <w:r>
              <w:rPr>
                <w:rFonts w:ascii="Calibri" w:hAnsi="Calibri" w:cs="Calibri"/>
                <w:color w:val="000000"/>
                <w:sz w:val="20"/>
                <w:szCs w:val="20"/>
              </w:rPr>
              <w:t>2.7%</w:t>
            </w:r>
          </w:p>
        </w:tc>
        <w:tc>
          <w:tcPr>
            <w:tcW w:w="1260" w:type="dxa"/>
            <w:gridSpan w:val="2"/>
            <w:shd w:val="clear" w:color="auto" w:fill="auto"/>
            <w:noWrap/>
            <w:vAlign w:val="center"/>
          </w:tcPr>
          <w:p w14:paraId="23032861" w14:textId="1D8F4042" w:rsidR="00110F75" w:rsidRPr="00F14474" w:rsidRDefault="00110F75" w:rsidP="00110F75">
            <w:pPr>
              <w:spacing w:after="0"/>
              <w:jc w:val="center"/>
              <w:rPr>
                <w:rFonts w:ascii="Calibri" w:eastAsia="Times New Roman" w:hAnsi="Calibri" w:cs="Calibri"/>
                <w:color w:val="000000"/>
                <w:sz w:val="20"/>
                <w:szCs w:val="20"/>
                <w:highlight w:val="yellow"/>
              </w:rPr>
            </w:pPr>
            <w:r>
              <w:rPr>
                <w:rFonts w:ascii="Calibri" w:hAnsi="Calibri" w:cs="Calibri"/>
                <w:color w:val="000000"/>
                <w:sz w:val="20"/>
                <w:szCs w:val="20"/>
              </w:rPr>
              <w:t>1.3%</w:t>
            </w:r>
          </w:p>
        </w:tc>
      </w:tr>
      <w:tr w:rsidR="00110F75" w:rsidRPr="00F14474" w14:paraId="5CA61C37" w14:textId="77777777" w:rsidTr="00185B97">
        <w:trPr>
          <w:trHeight w:val="70"/>
        </w:trPr>
        <w:tc>
          <w:tcPr>
            <w:tcW w:w="895" w:type="dxa"/>
            <w:gridSpan w:val="2"/>
            <w:shd w:val="clear" w:color="auto" w:fill="auto"/>
            <w:noWrap/>
            <w:vAlign w:val="center"/>
          </w:tcPr>
          <w:p w14:paraId="2B7B552F" w14:textId="1BA0E325" w:rsidR="00110F75" w:rsidRPr="00F14474" w:rsidRDefault="00110F75" w:rsidP="00110F75">
            <w:pPr>
              <w:spacing w:after="0"/>
              <w:jc w:val="center"/>
              <w:rPr>
                <w:rFonts w:eastAsia="Times New Roman" w:cstheme="minorHAnsi"/>
                <w:color w:val="000000"/>
                <w:sz w:val="20"/>
                <w:szCs w:val="20"/>
                <w:highlight w:val="yellow"/>
              </w:rPr>
            </w:pPr>
            <w:r>
              <w:rPr>
                <w:rFonts w:ascii="Calibri" w:hAnsi="Calibri" w:cs="Calibri"/>
                <w:color w:val="000000"/>
                <w:sz w:val="20"/>
                <w:szCs w:val="20"/>
              </w:rPr>
              <w:t>238210</w:t>
            </w:r>
          </w:p>
        </w:tc>
        <w:tc>
          <w:tcPr>
            <w:tcW w:w="4896" w:type="dxa"/>
            <w:shd w:val="clear" w:color="auto" w:fill="auto"/>
            <w:vAlign w:val="center"/>
          </w:tcPr>
          <w:p w14:paraId="357FC311" w14:textId="0636BAA4" w:rsidR="00110F75" w:rsidRPr="00F14474" w:rsidRDefault="00110F75" w:rsidP="00110F75">
            <w:pPr>
              <w:spacing w:after="0"/>
              <w:rPr>
                <w:rFonts w:eastAsia="Times New Roman" w:cstheme="minorHAnsi"/>
                <w:color w:val="000000"/>
                <w:sz w:val="20"/>
                <w:szCs w:val="20"/>
                <w:highlight w:val="yellow"/>
              </w:rPr>
            </w:pPr>
            <w:r>
              <w:rPr>
                <w:rFonts w:ascii="Calibri" w:hAnsi="Calibri" w:cs="Calibri"/>
                <w:color w:val="000000"/>
                <w:sz w:val="20"/>
                <w:szCs w:val="20"/>
              </w:rPr>
              <w:t>Electrical contractors and other wiring installation contractors</w:t>
            </w:r>
          </w:p>
        </w:tc>
        <w:tc>
          <w:tcPr>
            <w:tcW w:w="1134" w:type="dxa"/>
            <w:shd w:val="clear" w:color="auto" w:fill="auto"/>
            <w:noWrap/>
            <w:vAlign w:val="center"/>
          </w:tcPr>
          <w:p w14:paraId="016B3899" w14:textId="7CA2E1E4" w:rsidR="00110F75" w:rsidRPr="00F14474" w:rsidRDefault="00110F75" w:rsidP="00110F75">
            <w:pPr>
              <w:spacing w:after="0"/>
              <w:jc w:val="center"/>
              <w:rPr>
                <w:rFonts w:eastAsia="Times New Roman" w:cstheme="minorHAnsi"/>
                <w:color w:val="000000"/>
                <w:sz w:val="20"/>
                <w:szCs w:val="20"/>
                <w:highlight w:val="yellow"/>
              </w:rPr>
            </w:pPr>
            <w:r>
              <w:rPr>
                <w:rFonts w:ascii="Calibri" w:hAnsi="Calibri" w:cs="Calibri"/>
                <w:color w:val="000000"/>
                <w:sz w:val="20"/>
                <w:szCs w:val="20"/>
              </w:rPr>
              <w:t>15.8%</w:t>
            </w:r>
          </w:p>
        </w:tc>
        <w:tc>
          <w:tcPr>
            <w:tcW w:w="1260" w:type="dxa"/>
            <w:gridSpan w:val="2"/>
            <w:shd w:val="clear" w:color="auto" w:fill="auto"/>
            <w:noWrap/>
            <w:vAlign w:val="center"/>
          </w:tcPr>
          <w:p w14:paraId="0966FBC2" w14:textId="0FC0F080" w:rsidR="00110F75" w:rsidRPr="00F14474" w:rsidRDefault="00110F75" w:rsidP="00110F75">
            <w:pPr>
              <w:spacing w:after="0"/>
              <w:jc w:val="center"/>
              <w:rPr>
                <w:rFonts w:eastAsia="Times New Roman" w:cstheme="minorHAnsi"/>
                <w:color w:val="000000"/>
                <w:sz w:val="20"/>
                <w:szCs w:val="20"/>
                <w:highlight w:val="yellow"/>
              </w:rPr>
            </w:pPr>
            <w:r>
              <w:rPr>
                <w:rFonts w:ascii="Calibri" w:hAnsi="Calibri" w:cs="Calibri"/>
                <w:color w:val="000000"/>
                <w:sz w:val="20"/>
                <w:szCs w:val="20"/>
              </w:rPr>
              <w:t>1.5%</w:t>
            </w:r>
          </w:p>
        </w:tc>
        <w:tc>
          <w:tcPr>
            <w:tcW w:w="1260" w:type="dxa"/>
            <w:gridSpan w:val="2"/>
            <w:shd w:val="clear" w:color="auto" w:fill="auto"/>
            <w:noWrap/>
            <w:vAlign w:val="center"/>
          </w:tcPr>
          <w:p w14:paraId="4ED50177" w14:textId="77D71DF6" w:rsidR="00110F75" w:rsidRPr="00F14474" w:rsidRDefault="00110F75" w:rsidP="00110F75">
            <w:pPr>
              <w:spacing w:after="0"/>
              <w:jc w:val="center"/>
              <w:rPr>
                <w:rFonts w:ascii="Calibri" w:eastAsia="Times New Roman" w:hAnsi="Calibri" w:cs="Calibri"/>
                <w:color w:val="000000"/>
                <w:sz w:val="20"/>
                <w:szCs w:val="20"/>
                <w:highlight w:val="yellow"/>
              </w:rPr>
            </w:pPr>
            <w:r>
              <w:rPr>
                <w:rFonts w:ascii="Calibri" w:hAnsi="Calibri" w:cs="Calibri"/>
                <w:color w:val="000000"/>
                <w:sz w:val="20"/>
                <w:szCs w:val="20"/>
              </w:rPr>
              <w:t>0.2%</w:t>
            </w:r>
          </w:p>
        </w:tc>
      </w:tr>
      <w:tr w:rsidR="00110F75" w:rsidRPr="00F14474" w14:paraId="02AA08F3" w14:textId="77777777" w:rsidTr="00185B97">
        <w:trPr>
          <w:trHeight w:val="70"/>
        </w:trPr>
        <w:tc>
          <w:tcPr>
            <w:tcW w:w="895" w:type="dxa"/>
            <w:gridSpan w:val="2"/>
            <w:shd w:val="clear" w:color="auto" w:fill="auto"/>
            <w:noWrap/>
            <w:vAlign w:val="center"/>
          </w:tcPr>
          <w:p w14:paraId="6B955460" w14:textId="12A560CE" w:rsidR="00110F75" w:rsidRPr="00F14474" w:rsidRDefault="00110F75" w:rsidP="00110F75">
            <w:pPr>
              <w:spacing w:after="0"/>
              <w:jc w:val="center"/>
              <w:rPr>
                <w:rFonts w:eastAsia="Times New Roman" w:cstheme="minorHAnsi"/>
                <w:color w:val="000000"/>
                <w:sz w:val="20"/>
                <w:szCs w:val="20"/>
                <w:highlight w:val="yellow"/>
              </w:rPr>
            </w:pPr>
            <w:r>
              <w:rPr>
                <w:rFonts w:ascii="Calibri" w:hAnsi="Calibri" w:cs="Calibri"/>
                <w:color w:val="000000"/>
                <w:sz w:val="20"/>
                <w:szCs w:val="20"/>
              </w:rPr>
              <w:t>238910</w:t>
            </w:r>
          </w:p>
        </w:tc>
        <w:tc>
          <w:tcPr>
            <w:tcW w:w="4896" w:type="dxa"/>
            <w:shd w:val="clear" w:color="auto" w:fill="auto"/>
            <w:vAlign w:val="center"/>
          </w:tcPr>
          <w:p w14:paraId="5AD2E461" w14:textId="6D7F6AD1" w:rsidR="00110F75" w:rsidRPr="00F14474" w:rsidRDefault="00110F75" w:rsidP="00110F75">
            <w:pPr>
              <w:spacing w:after="0"/>
              <w:rPr>
                <w:rFonts w:eastAsia="Times New Roman" w:cstheme="minorHAnsi"/>
                <w:color w:val="000000"/>
                <w:sz w:val="20"/>
                <w:szCs w:val="20"/>
                <w:highlight w:val="yellow"/>
              </w:rPr>
            </w:pPr>
            <w:r>
              <w:rPr>
                <w:rFonts w:ascii="Calibri" w:hAnsi="Calibri" w:cs="Calibri"/>
                <w:color w:val="000000"/>
                <w:sz w:val="20"/>
                <w:szCs w:val="20"/>
              </w:rPr>
              <w:t>Site preparation contractors</w:t>
            </w:r>
          </w:p>
        </w:tc>
        <w:tc>
          <w:tcPr>
            <w:tcW w:w="1134" w:type="dxa"/>
            <w:shd w:val="clear" w:color="auto" w:fill="auto"/>
            <w:noWrap/>
            <w:vAlign w:val="center"/>
          </w:tcPr>
          <w:p w14:paraId="679040AB" w14:textId="4C31C5AB" w:rsidR="00110F75" w:rsidRPr="00F14474" w:rsidRDefault="00110F75" w:rsidP="00110F75">
            <w:pPr>
              <w:spacing w:after="0"/>
              <w:jc w:val="center"/>
              <w:rPr>
                <w:rFonts w:eastAsia="Times New Roman" w:cstheme="minorHAnsi"/>
                <w:color w:val="000000"/>
                <w:sz w:val="20"/>
                <w:szCs w:val="20"/>
                <w:highlight w:val="yellow"/>
              </w:rPr>
            </w:pPr>
            <w:r>
              <w:rPr>
                <w:rFonts w:ascii="Calibri" w:hAnsi="Calibri" w:cs="Calibri"/>
                <w:color w:val="000000"/>
                <w:sz w:val="20"/>
                <w:szCs w:val="20"/>
              </w:rPr>
              <w:footnoteRef/>
            </w:r>
            <w:r>
              <w:rPr>
                <w:rFonts w:ascii="Calibri" w:hAnsi="Calibri" w:cs="Calibri"/>
                <w:color w:val="000000"/>
                <w:sz w:val="20"/>
                <w:szCs w:val="20"/>
              </w:rPr>
              <w:t>1.4%</w:t>
            </w:r>
          </w:p>
        </w:tc>
        <w:tc>
          <w:tcPr>
            <w:tcW w:w="1260" w:type="dxa"/>
            <w:gridSpan w:val="2"/>
            <w:shd w:val="clear" w:color="auto" w:fill="auto"/>
            <w:noWrap/>
            <w:vAlign w:val="center"/>
          </w:tcPr>
          <w:p w14:paraId="240DBB63" w14:textId="2C7900C5" w:rsidR="00110F75" w:rsidRPr="00F14474" w:rsidRDefault="00110F75" w:rsidP="00110F75">
            <w:pPr>
              <w:spacing w:after="0"/>
              <w:jc w:val="center"/>
              <w:rPr>
                <w:rFonts w:eastAsia="Times New Roman" w:cstheme="minorHAnsi"/>
                <w:color w:val="000000"/>
                <w:sz w:val="20"/>
                <w:szCs w:val="20"/>
                <w:highlight w:val="yellow"/>
              </w:rPr>
            </w:pPr>
            <w:r>
              <w:rPr>
                <w:rFonts w:ascii="Calibri" w:hAnsi="Calibri" w:cs="Calibri"/>
                <w:color w:val="000000"/>
                <w:sz w:val="20"/>
                <w:szCs w:val="20"/>
              </w:rPr>
              <w:t>8.6%</w:t>
            </w:r>
          </w:p>
        </w:tc>
        <w:tc>
          <w:tcPr>
            <w:tcW w:w="1260" w:type="dxa"/>
            <w:gridSpan w:val="2"/>
            <w:shd w:val="clear" w:color="auto" w:fill="auto"/>
            <w:noWrap/>
            <w:vAlign w:val="center"/>
          </w:tcPr>
          <w:p w14:paraId="3DDA8195" w14:textId="391F62A1" w:rsidR="00110F75" w:rsidRPr="00F14474" w:rsidRDefault="00110F75" w:rsidP="00110F75">
            <w:pPr>
              <w:spacing w:after="0"/>
              <w:jc w:val="center"/>
              <w:rPr>
                <w:rFonts w:ascii="Calibri" w:eastAsia="Times New Roman" w:hAnsi="Calibri" w:cs="Calibri"/>
                <w:color w:val="000000"/>
                <w:sz w:val="20"/>
                <w:szCs w:val="20"/>
                <w:highlight w:val="yellow"/>
              </w:rPr>
            </w:pPr>
            <w:r>
              <w:rPr>
                <w:rFonts w:ascii="Calibri" w:hAnsi="Calibri" w:cs="Calibri"/>
                <w:color w:val="000000"/>
                <w:sz w:val="20"/>
                <w:szCs w:val="20"/>
              </w:rPr>
              <w:t>0.1%</w:t>
            </w:r>
          </w:p>
        </w:tc>
      </w:tr>
      <w:tr w:rsidR="00110F75" w:rsidRPr="00F14474" w14:paraId="6383848B" w14:textId="77777777" w:rsidTr="00185B97">
        <w:trPr>
          <w:trHeight w:val="70"/>
        </w:trPr>
        <w:tc>
          <w:tcPr>
            <w:tcW w:w="895" w:type="dxa"/>
            <w:gridSpan w:val="2"/>
            <w:shd w:val="clear" w:color="auto" w:fill="auto"/>
            <w:noWrap/>
            <w:vAlign w:val="center"/>
          </w:tcPr>
          <w:p w14:paraId="50260142" w14:textId="041784E5" w:rsidR="00110F75" w:rsidRPr="00F14474" w:rsidRDefault="00110F75" w:rsidP="00110F75">
            <w:pPr>
              <w:spacing w:after="0"/>
              <w:jc w:val="center"/>
              <w:rPr>
                <w:rFonts w:eastAsia="Times New Roman" w:cstheme="minorHAnsi"/>
                <w:color w:val="000000"/>
                <w:sz w:val="20"/>
                <w:szCs w:val="20"/>
                <w:highlight w:val="yellow"/>
              </w:rPr>
            </w:pPr>
            <w:r>
              <w:rPr>
                <w:rFonts w:ascii="Calibri" w:hAnsi="Calibri" w:cs="Calibri"/>
                <w:color w:val="000000"/>
                <w:sz w:val="20"/>
                <w:szCs w:val="20"/>
              </w:rPr>
              <w:t>238990</w:t>
            </w:r>
          </w:p>
        </w:tc>
        <w:tc>
          <w:tcPr>
            <w:tcW w:w="4896" w:type="dxa"/>
            <w:shd w:val="clear" w:color="auto" w:fill="auto"/>
            <w:vAlign w:val="center"/>
          </w:tcPr>
          <w:p w14:paraId="5D0B168C" w14:textId="155206D5" w:rsidR="00110F75" w:rsidRPr="00F14474" w:rsidRDefault="00110F75" w:rsidP="00110F75">
            <w:pPr>
              <w:spacing w:after="0"/>
              <w:rPr>
                <w:rFonts w:eastAsia="Times New Roman" w:cstheme="minorHAnsi"/>
                <w:color w:val="000000"/>
                <w:sz w:val="20"/>
                <w:szCs w:val="20"/>
                <w:highlight w:val="yellow"/>
              </w:rPr>
            </w:pPr>
            <w:r>
              <w:rPr>
                <w:rFonts w:ascii="Calibri" w:hAnsi="Calibri" w:cs="Calibri"/>
                <w:color w:val="000000"/>
                <w:sz w:val="20"/>
                <w:szCs w:val="20"/>
              </w:rPr>
              <w:t>All other specialty trade contractors</w:t>
            </w:r>
          </w:p>
        </w:tc>
        <w:tc>
          <w:tcPr>
            <w:tcW w:w="1134" w:type="dxa"/>
            <w:shd w:val="clear" w:color="auto" w:fill="auto"/>
            <w:noWrap/>
            <w:vAlign w:val="center"/>
          </w:tcPr>
          <w:p w14:paraId="0D6CD3FA" w14:textId="06DCD15B" w:rsidR="00110F75" w:rsidRPr="00F14474" w:rsidRDefault="00110F75" w:rsidP="00110F75">
            <w:pPr>
              <w:spacing w:after="0"/>
              <w:jc w:val="center"/>
              <w:rPr>
                <w:rFonts w:eastAsia="Times New Roman" w:cstheme="minorHAnsi"/>
                <w:color w:val="000000"/>
                <w:sz w:val="20"/>
                <w:szCs w:val="20"/>
                <w:highlight w:val="yellow"/>
              </w:rPr>
            </w:pPr>
            <w:r>
              <w:rPr>
                <w:rFonts w:ascii="Calibri" w:hAnsi="Calibri" w:cs="Calibri"/>
                <w:color w:val="000000"/>
                <w:sz w:val="20"/>
                <w:szCs w:val="20"/>
              </w:rPr>
              <w:footnoteRef/>
            </w:r>
            <w:r>
              <w:rPr>
                <w:rFonts w:ascii="Calibri" w:hAnsi="Calibri" w:cs="Calibri"/>
                <w:color w:val="000000"/>
                <w:sz w:val="20"/>
                <w:szCs w:val="20"/>
              </w:rPr>
              <w:t>21.7%</w:t>
            </w:r>
          </w:p>
        </w:tc>
        <w:tc>
          <w:tcPr>
            <w:tcW w:w="1260" w:type="dxa"/>
            <w:gridSpan w:val="2"/>
            <w:shd w:val="clear" w:color="auto" w:fill="auto"/>
            <w:noWrap/>
            <w:vAlign w:val="center"/>
          </w:tcPr>
          <w:p w14:paraId="230CCC81" w14:textId="60583778" w:rsidR="00110F75" w:rsidRPr="00F14474" w:rsidRDefault="00110F75" w:rsidP="00110F75">
            <w:pPr>
              <w:spacing w:after="0"/>
              <w:jc w:val="center"/>
              <w:rPr>
                <w:rFonts w:eastAsia="Times New Roman" w:cstheme="minorHAnsi"/>
                <w:color w:val="000000"/>
                <w:sz w:val="20"/>
                <w:szCs w:val="20"/>
                <w:highlight w:val="yellow"/>
              </w:rPr>
            </w:pPr>
            <w:r>
              <w:rPr>
                <w:rFonts w:ascii="Calibri" w:hAnsi="Calibri" w:cs="Calibri"/>
                <w:color w:val="000000"/>
                <w:sz w:val="20"/>
                <w:szCs w:val="20"/>
              </w:rPr>
              <w:t>5.4%</w:t>
            </w:r>
          </w:p>
        </w:tc>
        <w:tc>
          <w:tcPr>
            <w:tcW w:w="1260" w:type="dxa"/>
            <w:gridSpan w:val="2"/>
            <w:shd w:val="clear" w:color="auto" w:fill="auto"/>
            <w:noWrap/>
            <w:vAlign w:val="center"/>
          </w:tcPr>
          <w:p w14:paraId="3D0E2A8F" w14:textId="3354E544" w:rsidR="00110F75" w:rsidRPr="00F14474" w:rsidRDefault="00110F75" w:rsidP="00110F75">
            <w:pPr>
              <w:spacing w:after="0"/>
              <w:jc w:val="center"/>
              <w:rPr>
                <w:rFonts w:ascii="Calibri" w:eastAsia="Times New Roman" w:hAnsi="Calibri" w:cs="Calibri"/>
                <w:color w:val="000000"/>
                <w:sz w:val="20"/>
                <w:szCs w:val="20"/>
                <w:highlight w:val="yellow"/>
              </w:rPr>
            </w:pPr>
            <w:r>
              <w:rPr>
                <w:rFonts w:ascii="Calibri" w:hAnsi="Calibri" w:cs="Calibri"/>
                <w:color w:val="000000"/>
                <w:sz w:val="20"/>
                <w:szCs w:val="20"/>
              </w:rPr>
              <w:t>1.2%</w:t>
            </w:r>
          </w:p>
        </w:tc>
      </w:tr>
      <w:tr w:rsidR="00110F75" w:rsidRPr="00F14474" w14:paraId="29E51229" w14:textId="77777777" w:rsidTr="00185B97">
        <w:trPr>
          <w:trHeight w:val="70"/>
        </w:trPr>
        <w:tc>
          <w:tcPr>
            <w:tcW w:w="895" w:type="dxa"/>
            <w:gridSpan w:val="2"/>
            <w:shd w:val="clear" w:color="auto" w:fill="auto"/>
            <w:noWrap/>
            <w:vAlign w:val="center"/>
          </w:tcPr>
          <w:p w14:paraId="4780A51B" w14:textId="5AEC200B" w:rsidR="00110F75" w:rsidRPr="00F14474" w:rsidRDefault="00110F75" w:rsidP="00110F75">
            <w:pPr>
              <w:spacing w:after="0"/>
              <w:jc w:val="center"/>
              <w:rPr>
                <w:rFonts w:eastAsia="Times New Roman" w:cstheme="minorHAnsi"/>
                <w:color w:val="000000"/>
                <w:sz w:val="20"/>
                <w:szCs w:val="20"/>
                <w:highlight w:val="yellow"/>
              </w:rPr>
            </w:pPr>
            <w:r>
              <w:rPr>
                <w:rFonts w:ascii="Calibri" w:hAnsi="Calibri" w:cs="Calibri"/>
                <w:color w:val="000000"/>
                <w:sz w:val="20"/>
                <w:szCs w:val="20"/>
              </w:rPr>
              <w:t>333923</w:t>
            </w:r>
          </w:p>
        </w:tc>
        <w:tc>
          <w:tcPr>
            <w:tcW w:w="4896" w:type="dxa"/>
            <w:shd w:val="clear" w:color="auto" w:fill="auto"/>
            <w:vAlign w:val="center"/>
          </w:tcPr>
          <w:p w14:paraId="2D4AEA21" w14:textId="2F9624A2" w:rsidR="00110F75" w:rsidRPr="00F14474" w:rsidRDefault="00110F75" w:rsidP="00110F75">
            <w:pPr>
              <w:spacing w:after="0"/>
              <w:rPr>
                <w:rFonts w:eastAsia="Times New Roman" w:cstheme="minorHAnsi"/>
                <w:color w:val="000000"/>
                <w:sz w:val="20"/>
                <w:szCs w:val="20"/>
                <w:highlight w:val="yellow"/>
              </w:rPr>
            </w:pPr>
            <w:r>
              <w:rPr>
                <w:rFonts w:ascii="Calibri" w:hAnsi="Calibri" w:cs="Calibri"/>
                <w:color w:val="000000"/>
                <w:sz w:val="20"/>
                <w:szCs w:val="20"/>
              </w:rPr>
              <w:t>Overhead traveling crane, hoist, and monorail system manufacturing</w:t>
            </w:r>
          </w:p>
        </w:tc>
        <w:tc>
          <w:tcPr>
            <w:tcW w:w="1134" w:type="dxa"/>
            <w:shd w:val="clear" w:color="auto" w:fill="auto"/>
            <w:noWrap/>
            <w:vAlign w:val="center"/>
          </w:tcPr>
          <w:p w14:paraId="2E04CE5A" w14:textId="2E081E23" w:rsidR="00110F75" w:rsidRPr="00F14474" w:rsidRDefault="00110F75" w:rsidP="00110F75">
            <w:pPr>
              <w:spacing w:after="0"/>
              <w:jc w:val="center"/>
              <w:rPr>
                <w:rFonts w:eastAsia="Times New Roman" w:cstheme="minorHAnsi"/>
                <w:color w:val="000000"/>
                <w:sz w:val="20"/>
                <w:szCs w:val="20"/>
                <w:highlight w:val="yellow"/>
              </w:rPr>
            </w:pPr>
            <w:r>
              <w:rPr>
                <w:rFonts w:ascii="Calibri" w:hAnsi="Calibri" w:cs="Calibri"/>
                <w:color w:val="000000"/>
                <w:sz w:val="20"/>
                <w:szCs w:val="20"/>
              </w:rPr>
              <w:footnoteRef/>
            </w:r>
            <w:r>
              <w:rPr>
                <w:rFonts w:ascii="Calibri" w:hAnsi="Calibri" w:cs="Calibri"/>
                <w:color w:val="000000"/>
                <w:sz w:val="20"/>
                <w:szCs w:val="20"/>
              </w:rPr>
              <w:t>2.2%</w:t>
            </w:r>
          </w:p>
        </w:tc>
        <w:tc>
          <w:tcPr>
            <w:tcW w:w="1260" w:type="dxa"/>
            <w:gridSpan w:val="2"/>
            <w:shd w:val="clear" w:color="auto" w:fill="auto"/>
            <w:noWrap/>
            <w:vAlign w:val="center"/>
          </w:tcPr>
          <w:p w14:paraId="096D2EC9" w14:textId="087902E7" w:rsidR="00110F75" w:rsidRPr="00F14474" w:rsidRDefault="00110F75" w:rsidP="00110F75">
            <w:pPr>
              <w:spacing w:after="0"/>
              <w:jc w:val="center"/>
              <w:rPr>
                <w:rFonts w:eastAsia="Times New Roman" w:cstheme="minorHAnsi"/>
                <w:color w:val="000000"/>
                <w:sz w:val="20"/>
                <w:szCs w:val="20"/>
                <w:highlight w:val="yellow"/>
              </w:rPr>
            </w:pPr>
            <w:r>
              <w:rPr>
                <w:rFonts w:ascii="Calibri" w:hAnsi="Calibri" w:cs="Calibri"/>
                <w:color w:val="000000"/>
                <w:sz w:val="20"/>
                <w:szCs w:val="20"/>
              </w:rPr>
              <w:t>0.0%</w:t>
            </w:r>
          </w:p>
        </w:tc>
        <w:tc>
          <w:tcPr>
            <w:tcW w:w="1260" w:type="dxa"/>
            <w:gridSpan w:val="2"/>
            <w:shd w:val="clear" w:color="auto" w:fill="auto"/>
            <w:noWrap/>
            <w:vAlign w:val="center"/>
          </w:tcPr>
          <w:p w14:paraId="3CA89190" w14:textId="257117C2" w:rsidR="00110F75" w:rsidRPr="00F14474" w:rsidRDefault="00110F75" w:rsidP="00110F75">
            <w:pPr>
              <w:spacing w:after="0"/>
              <w:jc w:val="center"/>
              <w:rPr>
                <w:rFonts w:ascii="Calibri" w:eastAsia="Times New Roman" w:hAnsi="Calibri" w:cs="Calibri"/>
                <w:color w:val="000000"/>
                <w:sz w:val="20"/>
                <w:szCs w:val="20"/>
                <w:highlight w:val="yellow"/>
              </w:rPr>
            </w:pPr>
            <w:r>
              <w:rPr>
                <w:rFonts w:ascii="Calibri" w:hAnsi="Calibri" w:cs="Calibri"/>
                <w:color w:val="000000"/>
                <w:sz w:val="20"/>
                <w:szCs w:val="20"/>
              </w:rPr>
              <w:t>0.0%</w:t>
            </w:r>
          </w:p>
        </w:tc>
      </w:tr>
      <w:tr w:rsidR="00110F75" w:rsidRPr="00F14474" w14:paraId="66CB4C84" w14:textId="77777777" w:rsidTr="00185B97">
        <w:trPr>
          <w:trHeight w:val="300"/>
        </w:trPr>
        <w:tc>
          <w:tcPr>
            <w:tcW w:w="895" w:type="dxa"/>
            <w:gridSpan w:val="2"/>
            <w:shd w:val="clear" w:color="auto" w:fill="auto"/>
            <w:noWrap/>
            <w:vAlign w:val="center"/>
          </w:tcPr>
          <w:p w14:paraId="53F6885C" w14:textId="7EA93E05" w:rsidR="00110F75" w:rsidRPr="00F14474" w:rsidRDefault="00110F75" w:rsidP="00110F75">
            <w:pPr>
              <w:spacing w:after="0"/>
              <w:jc w:val="center"/>
              <w:rPr>
                <w:rFonts w:eastAsia="Times New Roman" w:cstheme="minorHAnsi"/>
                <w:color w:val="000000"/>
                <w:sz w:val="20"/>
                <w:szCs w:val="20"/>
                <w:highlight w:val="yellow"/>
              </w:rPr>
            </w:pPr>
            <w:r>
              <w:rPr>
                <w:rFonts w:ascii="Calibri" w:hAnsi="Calibri" w:cs="Calibri"/>
                <w:color w:val="000000"/>
                <w:sz w:val="20"/>
                <w:szCs w:val="20"/>
              </w:rPr>
              <w:t>541330</w:t>
            </w:r>
          </w:p>
        </w:tc>
        <w:tc>
          <w:tcPr>
            <w:tcW w:w="4896" w:type="dxa"/>
            <w:shd w:val="clear" w:color="auto" w:fill="auto"/>
            <w:vAlign w:val="center"/>
          </w:tcPr>
          <w:p w14:paraId="33DA069E" w14:textId="3DBD5022" w:rsidR="00110F75" w:rsidRPr="00F14474" w:rsidRDefault="00110F75" w:rsidP="00110F75">
            <w:pPr>
              <w:spacing w:after="0"/>
              <w:rPr>
                <w:rFonts w:eastAsia="Times New Roman" w:cstheme="minorHAnsi"/>
                <w:color w:val="000000"/>
                <w:sz w:val="20"/>
                <w:szCs w:val="20"/>
                <w:highlight w:val="yellow"/>
              </w:rPr>
            </w:pPr>
            <w:r>
              <w:rPr>
                <w:rFonts w:ascii="Calibri" w:hAnsi="Calibri" w:cs="Calibri"/>
                <w:color w:val="000000"/>
                <w:sz w:val="20"/>
                <w:szCs w:val="20"/>
              </w:rPr>
              <w:t>Engineering services</w:t>
            </w:r>
          </w:p>
        </w:tc>
        <w:tc>
          <w:tcPr>
            <w:tcW w:w="1134" w:type="dxa"/>
            <w:shd w:val="clear" w:color="auto" w:fill="auto"/>
            <w:vAlign w:val="center"/>
          </w:tcPr>
          <w:p w14:paraId="4E3CA308" w14:textId="22B80E2E" w:rsidR="00110F75" w:rsidRPr="00F14474" w:rsidRDefault="00110F75" w:rsidP="00110F75">
            <w:pPr>
              <w:spacing w:after="0"/>
              <w:jc w:val="center"/>
              <w:rPr>
                <w:rFonts w:eastAsia="Times New Roman" w:cstheme="minorHAnsi"/>
                <w:color w:val="000000"/>
                <w:sz w:val="20"/>
                <w:szCs w:val="20"/>
                <w:highlight w:val="yellow"/>
              </w:rPr>
            </w:pPr>
            <w:r>
              <w:rPr>
                <w:rFonts w:ascii="Calibri" w:hAnsi="Calibri" w:cs="Calibri"/>
                <w:color w:val="000000"/>
                <w:sz w:val="20"/>
                <w:szCs w:val="20"/>
              </w:rPr>
              <w:t>13.1%</w:t>
            </w:r>
          </w:p>
        </w:tc>
        <w:tc>
          <w:tcPr>
            <w:tcW w:w="1260" w:type="dxa"/>
            <w:gridSpan w:val="2"/>
            <w:shd w:val="clear" w:color="auto" w:fill="auto"/>
            <w:vAlign w:val="center"/>
          </w:tcPr>
          <w:p w14:paraId="07473643" w14:textId="0A04CEC9" w:rsidR="00110F75" w:rsidRPr="00F14474" w:rsidRDefault="00110F75" w:rsidP="00110F75">
            <w:pPr>
              <w:spacing w:after="0"/>
              <w:jc w:val="center"/>
              <w:rPr>
                <w:rFonts w:eastAsia="Times New Roman" w:cstheme="minorHAnsi"/>
                <w:color w:val="000000"/>
                <w:sz w:val="20"/>
                <w:szCs w:val="20"/>
                <w:highlight w:val="yellow"/>
              </w:rPr>
            </w:pPr>
            <w:r>
              <w:rPr>
                <w:rFonts w:ascii="Calibri" w:hAnsi="Calibri" w:cs="Calibri"/>
                <w:color w:val="000000"/>
                <w:sz w:val="20"/>
                <w:szCs w:val="20"/>
              </w:rPr>
              <w:t>5.3%</w:t>
            </w:r>
          </w:p>
        </w:tc>
        <w:tc>
          <w:tcPr>
            <w:tcW w:w="1260" w:type="dxa"/>
            <w:gridSpan w:val="2"/>
            <w:shd w:val="clear" w:color="auto" w:fill="auto"/>
            <w:noWrap/>
            <w:vAlign w:val="center"/>
          </w:tcPr>
          <w:p w14:paraId="51F95F56" w14:textId="757DA0DA" w:rsidR="00110F75" w:rsidRPr="00F14474" w:rsidRDefault="00110F75" w:rsidP="00110F75">
            <w:pPr>
              <w:spacing w:after="0"/>
              <w:jc w:val="center"/>
              <w:rPr>
                <w:rFonts w:ascii="Calibri" w:eastAsia="Times New Roman" w:hAnsi="Calibri" w:cs="Calibri"/>
                <w:color w:val="000000"/>
                <w:sz w:val="20"/>
                <w:szCs w:val="20"/>
                <w:highlight w:val="yellow"/>
              </w:rPr>
            </w:pPr>
            <w:r>
              <w:rPr>
                <w:rFonts w:ascii="Calibri" w:hAnsi="Calibri" w:cs="Calibri"/>
                <w:color w:val="000000"/>
                <w:sz w:val="20"/>
                <w:szCs w:val="20"/>
              </w:rPr>
              <w:t>0.7%</w:t>
            </w:r>
          </w:p>
        </w:tc>
      </w:tr>
      <w:tr w:rsidR="00110F75" w:rsidRPr="00F14474" w14:paraId="301AF3F0" w14:textId="77777777" w:rsidTr="00185B97">
        <w:trPr>
          <w:trHeight w:val="70"/>
        </w:trPr>
        <w:tc>
          <w:tcPr>
            <w:tcW w:w="895" w:type="dxa"/>
            <w:gridSpan w:val="2"/>
            <w:shd w:val="clear" w:color="auto" w:fill="auto"/>
            <w:noWrap/>
            <w:vAlign w:val="center"/>
          </w:tcPr>
          <w:p w14:paraId="204361D6" w14:textId="6F90AEFF" w:rsidR="00110F75" w:rsidRPr="00F14474" w:rsidRDefault="00110F75" w:rsidP="00110F75">
            <w:pPr>
              <w:spacing w:after="0"/>
              <w:jc w:val="center"/>
              <w:rPr>
                <w:rFonts w:eastAsia="Times New Roman" w:cstheme="minorHAnsi"/>
                <w:color w:val="000000"/>
                <w:sz w:val="20"/>
                <w:szCs w:val="20"/>
                <w:highlight w:val="yellow"/>
              </w:rPr>
            </w:pPr>
            <w:r>
              <w:rPr>
                <w:rFonts w:ascii="Calibri" w:hAnsi="Calibri" w:cs="Calibri"/>
                <w:color w:val="000000"/>
                <w:sz w:val="20"/>
                <w:szCs w:val="20"/>
              </w:rPr>
              <w:t>561730</w:t>
            </w:r>
          </w:p>
        </w:tc>
        <w:tc>
          <w:tcPr>
            <w:tcW w:w="4896" w:type="dxa"/>
            <w:shd w:val="clear" w:color="auto" w:fill="auto"/>
            <w:vAlign w:val="center"/>
          </w:tcPr>
          <w:p w14:paraId="540D0836" w14:textId="1C966ABE" w:rsidR="00110F75" w:rsidRPr="00F14474" w:rsidRDefault="00110F75" w:rsidP="00110F75">
            <w:pPr>
              <w:spacing w:after="0"/>
              <w:rPr>
                <w:rFonts w:eastAsia="Times New Roman" w:cstheme="minorHAnsi"/>
                <w:color w:val="000000"/>
                <w:sz w:val="20"/>
                <w:szCs w:val="20"/>
                <w:highlight w:val="yellow"/>
              </w:rPr>
            </w:pPr>
            <w:r>
              <w:rPr>
                <w:rFonts w:ascii="Calibri" w:hAnsi="Calibri" w:cs="Calibri"/>
                <w:color w:val="000000"/>
                <w:sz w:val="20"/>
                <w:szCs w:val="20"/>
              </w:rPr>
              <w:t>Landscaping services</w:t>
            </w:r>
          </w:p>
        </w:tc>
        <w:tc>
          <w:tcPr>
            <w:tcW w:w="1134" w:type="dxa"/>
            <w:shd w:val="clear" w:color="auto" w:fill="auto"/>
            <w:noWrap/>
            <w:vAlign w:val="center"/>
          </w:tcPr>
          <w:p w14:paraId="1300E5AC" w14:textId="5189C979" w:rsidR="00110F75" w:rsidRPr="00F14474" w:rsidRDefault="00110F75" w:rsidP="00110F75">
            <w:pPr>
              <w:spacing w:after="0"/>
              <w:jc w:val="center"/>
              <w:rPr>
                <w:rFonts w:eastAsia="Times New Roman" w:cstheme="minorHAnsi"/>
                <w:color w:val="000000"/>
                <w:sz w:val="20"/>
                <w:szCs w:val="20"/>
                <w:highlight w:val="yellow"/>
              </w:rPr>
            </w:pPr>
            <w:r>
              <w:rPr>
                <w:rFonts w:ascii="Calibri" w:hAnsi="Calibri" w:cs="Calibri"/>
                <w:color w:val="000000"/>
                <w:sz w:val="20"/>
                <w:szCs w:val="20"/>
              </w:rPr>
              <w:t>0.0%</w:t>
            </w:r>
          </w:p>
        </w:tc>
        <w:tc>
          <w:tcPr>
            <w:tcW w:w="1260" w:type="dxa"/>
            <w:gridSpan w:val="2"/>
            <w:shd w:val="clear" w:color="auto" w:fill="auto"/>
            <w:noWrap/>
            <w:vAlign w:val="center"/>
          </w:tcPr>
          <w:p w14:paraId="2477BA19" w14:textId="2E03079E" w:rsidR="00110F75" w:rsidRPr="00F14474" w:rsidRDefault="00110F75" w:rsidP="00110F75">
            <w:pPr>
              <w:spacing w:after="0"/>
              <w:jc w:val="center"/>
              <w:rPr>
                <w:rFonts w:eastAsia="Times New Roman" w:cstheme="minorHAnsi"/>
                <w:color w:val="000000"/>
                <w:sz w:val="20"/>
                <w:szCs w:val="20"/>
                <w:highlight w:val="yellow"/>
              </w:rPr>
            </w:pPr>
            <w:r>
              <w:rPr>
                <w:rFonts w:ascii="Calibri" w:hAnsi="Calibri" w:cs="Calibri"/>
                <w:color w:val="000000"/>
                <w:sz w:val="20"/>
                <w:szCs w:val="20"/>
              </w:rPr>
              <w:t>0.8%</w:t>
            </w:r>
          </w:p>
        </w:tc>
        <w:tc>
          <w:tcPr>
            <w:tcW w:w="1260" w:type="dxa"/>
            <w:gridSpan w:val="2"/>
            <w:shd w:val="clear" w:color="auto" w:fill="auto"/>
            <w:noWrap/>
            <w:vAlign w:val="center"/>
          </w:tcPr>
          <w:p w14:paraId="202B16EB" w14:textId="4547F803" w:rsidR="00110F75" w:rsidRPr="00F14474" w:rsidRDefault="00110F75" w:rsidP="00110F75">
            <w:pPr>
              <w:spacing w:after="0"/>
              <w:jc w:val="center"/>
              <w:rPr>
                <w:rFonts w:ascii="Calibri" w:eastAsia="Times New Roman" w:hAnsi="Calibri" w:cs="Calibri"/>
                <w:color w:val="000000"/>
                <w:sz w:val="20"/>
                <w:szCs w:val="20"/>
                <w:highlight w:val="yellow"/>
              </w:rPr>
            </w:pPr>
            <w:r>
              <w:rPr>
                <w:rFonts w:ascii="Calibri" w:hAnsi="Calibri" w:cs="Calibri"/>
                <w:color w:val="000000"/>
                <w:sz w:val="20"/>
                <w:szCs w:val="20"/>
              </w:rPr>
              <w:t>0.0%</w:t>
            </w:r>
          </w:p>
        </w:tc>
      </w:tr>
      <w:tr w:rsidR="00A04400" w:rsidRPr="00F14474" w14:paraId="43F23148" w14:textId="77777777" w:rsidTr="00287D37">
        <w:trPr>
          <w:trHeight w:val="300"/>
        </w:trPr>
        <w:tc>
          <w:tcPr>
            <w:tcW w:w="895" w:type="dxa"/>
            <w:gridSpan w:val="2"/>
            <w:shd w:val="clear" w:color="auto" w:fill="444444" w:themeFill="text1"/>
            <w:noWrap/>
            <w:hideMark/>
          </w:tcPr>
          <w:p w14:paraId="56887BD6" w14:textId="77777777" w:rsidR="00A04400" w:rsidRPr="00A04400" w:rsidRDefault="00A04400" w:rsidP="00110F75">
            <w:pPr>
              <w:spacing w:after="0"/>
              <w:jc w:val="center"/>
              <w:rPr>
                <w:rFonts w:eastAsia="Times New Roman" w:cstheme="minorHAnsi"/>
                <w:b/>
                <w:bCs/>
                <w:color w:val="FFFFFF" w:themeColor="background1"/>
                <w:sz w:val="20"/>
                <w:szCs w:val="20"/>
                <w:highlight w:val="yellow"/>
              </w:rPr>
            </w:pPr>
            <w:r w:rsidRPr="00A04400">
              <w:rPr>
                <w:b/>
                <w:bCs/>
                <w:color w:val="FFFFFF" w:themeColor="background1"/>
                <w:sz w:val="20"/>
                <w:szCs w:val="20"/>
              </w:rPr>
              <w:t>Total</w:t>
            </w:r>
          </w:p>
        </w:tc>
        <w:tc>
          <w:tcPr>
            <w:tcW w:w="4896" w:type="dxa"/>
            <w:shd w:val="clear" w:color="auto" w:fill="444444" w:themeFill="text1"/>
            <w:noWrap/>
            <w:hideMark/>
          </w:tcPr>
          <w:p w14:paraId="4D03AE10" w14:textId="77777777" w:rsidR="00A04400" w:rsidRPr="00A04400" w:rsidRDefault="00A04400" w:rsidP="00287D37">
            <w:pPr>
              <w:spacing w:after="0"/>
              <w:rPr>
                <w:rFonts w:eastAsia="Times New Roman" w:cstheme="minorHAnsi"/>
                <w:b/>
                <w:bCs/>
                <w:color w:val="FFFFFF" w:themeColor="background1"/>
                <w:sz w:val="20"/>
                <w:szCs w:val="20"/>
                <w:highlight w:val="yellow"/>
              </w:rPr>
            </w:pPr>
          </w:p>
        </w:tc>
        <w:tc>
          <w:tcPr>
            <w:tcW w:w="1134" w:type="dxa"/>
            <w:shd w:val="clear" w:color="auto" w:fill="444444" w:themeFill="text1"/>
            <w:noWrap/>
            <w:hideMark/>
          </w:tcPr>
          <w:p w14:paraId="2139762E" w14:textId="77777777" w:rsidR="00A04400" w:rsidRPr="00A04400" w:rsidRDefault="00A04400" w:rsidP="00287D37">
            <w:pPr>
              <w:spacing w:after="0"/>
              <w:rPr>
                <w:rFonts w:eastAsia="Times New Roman" w:cstheme="minorHAnsi"/>
                <w:b/>
                <w:bCs/>
                <w:color w:val="FFFFFF" w:themeColor="background1"/>
                <w:sz w:val="20"/>
                <w:szCs w:val="20"/>
                <w:highlight w:val="yellow"/>
              </w:rPr>
            </w:pPr>
          </w:p>
        </w:tc>
        <w:tc>
          <w:tcPr>
            <w:tcW w:w="1260" w:type="dxa"/>
            <w:gridSpan w:val="2"/>
            <w:shd w:val="clear" w:color="auto" w:fill="444444" w:themeFill="text1"/>
            <w:noWrap/>
            <w:hideMark/>
          </w:tcPr>
          <w:p w14:paraId="34777870" w14:textId="77777777" w:rsidR="00A04400" w:rsidRPr="00A04400" w:rsidRDefault="00A04400" w:rsidP="00287D37">
            <w:pPr>
              <w:spacing w:after="0"/>
              <w:jc w:val="center"/>
              <w:rPr>
                <w:rFonts w:eastAsia="Times New Roman" w:cstheme="minorHAnsi"/>
                <w:b/>
                <w:bCs/>
                <w:color w:val="FFFFFF" w:themeColor="background1"/>
                <w:sz w:val="20"/>
                <w:szCs w:val="20"/>
                <w:highlight w:val="yellow"/>
              </w:rPr>
            </w:pPr>
          </w:p>
        </w:tc>
        <w:tc>
          <w:tcPr>
            <w:tcW w:w="1260" w:type="dxa"/>
            <w:gridSpan w:val="2"/>
            <w:shd w:val="clear" w:color="auto" w:fill="444444" w:themeFill="text1"/>
            <w:noWrap/>
            <w:hideMark/>
          </w:tcPr>
          <w:p w14:paraId="66541D3A" w14:textId="4C3B6D14" w:rsidR="00A04400" w:rsidRPr="00A04400" w:rsidRDefault="00110F75" w:rsidP="00287D37">
            <w:pPr>
              <w:spacing w:after="0"/>
              <w:jc w:val="center"/>
              <w:rPr>
                <w:rFonts w:ascii="Calibri" w:eastAsia="Times New Roman" w:hAnsi="Calibri" w:cs="Calibri"/>
                <w:b/>
                <w:bCs/>
                <w:color w:val="FFFFFF" w:themeColor="background1"/>
                <w:sz w:val="20"/>
                <w:szCs w:val="20"/>
                <w:highlight w:val="yellow"/>
              </w:rPr>
            </w:pPr>
            <w:r>
              <w:rPr>
                <w:b/>
                <w:bCs/>
                <w:color w:val="FFFFFF" w:themeColor="background1"/>
                <w:sz w:val="20"/>
                <w:szCs w:val="20"/>
              </w:rPr>
              <w:t>3.5</w:t>
            </w:r>
            <w:r w:rsidR="00A04400" w:rsidRPr="00A04400">
              <w:rPr>
                <w:b/>
                <w:bCs/>
                <w:color w:val="FFFFFF" w:themeColor="background1"/>
                <w:sz w:val="20"/>
                <w:szCs w:val="20"/>
              </w:rPr>
              <w:t>%</w:t>
            </w:r>
          </w:p>
        </w:tc>
      </w:tr>
      <w:bookmarkEnd w:id="9"/>
      <w:bookmarkEnd w:id="10"/>
      <w:bookmarkEnd w:id="11"/>
    </w:tbl>
    <w:p w14:paraId="1680E92B" w14:textId="77777777" w:rsidR="00BD10CA" w:rsidRPr="00EB25AA" w:rsidRDefault="00BD10CA" w:rsidP="00E07F8A">
      <w:pPr>
        <w:autoSpaceDE w:val="0"/>
        <w:autoSpaceDN w:val="0"/>
        <w:adjustRightInd w:val="0"/>
        <w:spacing w:after="0"/>
        <w:jc w:val="both"/>
        <w:rPr>
          <w:rFonts w:eastAsia="Times New Roman" w:cstheme="minorHAnsi"/>
        </w:rPr>
      </w:pPr>
    </w:p>
    <w:p w14:paraId="69448F8E" w14:textId="302E7BB8" w:rsidR="000C1E75" w:rsidRPr="00D42E08" w:rsidRDefault="000C1E75" w:rsidP="005A0C48">
      <w:pPr>
        <w:pStyle w:val="Heading2"/>
      </w:pPr>
      <w:r w:rsidRPr="00D42E08">
        <w:t>Step 2: Adjusting the Base Figure</w:t>
      </w:r>
    </w:p>
    <w:p w14:paraId="58539EE0" w14:textId="6D04C981" w:rsidR="000C1E75" w:rsidRDefault="000C1E75" w:rsidP="000C1E75">
      <w:pPr>
        <w:autoSpaceDE w:val="0"/>
        <w:autoSpaceDN w:val="0"/>
        <w:adjustRightInd w:val="0"/>
        <w:spacing w:after="240"/>
        <w:jc w:val="both"/>
        <w:rPr>
          <w:rFonts w:eastAsia="Times New Roman" w:cstheme="minorHAnsi"/>
        </w:rPr>
      </w:pPr>
      <w:r w:rsidRPr="00D42E08">
        <w:t>Upon establishing the</w:t>
      </w:r>
      <w:r w:rsidR="009E01FD" w:rsidRPr="00D42E08">
        <w:t xml:space="preserve"> Weighted</w:t>
      </w:r>
      <w:r w:rsidRPr="00D42E08">
        <w:t xml:space="preserve"> Base Figure, </w:t>
      </w:r>
      <w:r w:rsidR="00B60A2D" w:rsidRPr="00D42E08">
        <w:t>Unitrans</w:t>
      </w:r>
      <w:r w:rsidRPr="00D42E08">
        <w:t xml:space="preserve"> </w:t>
      </w:r>
      <w:r w:rsidRPr="00D42E08">
        <w:rPr>
          <w:rFonts w:eastAsia="Times New Roman" w:cstheme="minorHAnsi"/>
        </w:rPr>
        <w:t xml:space="preserve">reviewed and assessed other known evidence potentially </w:t>
      </w:r>
      <w:r w:rsidRPr="00D42E08">
        <w:rPr>
          <w:rFonts w:eastAsia="Times New Roman" w:cstheme="minorHAnsi"/>
          <w:szCs w:val="20"/>
        </w:rPr>
        <w:t>impacting</w:t>
      </w:r>
      <w:r w:rsidRPr="00D42E08">
        <w:rPr>
          <w:rFonts w:eastAsia="Times New Roman" w:cstheme="minorHAnsi"/>
        </w:rPr>
        <w:t xml:space="preserve"> the relative availability of DBEs within the market area, in accordance with prescribed narrow tailoring provisions set forth under 49 CFR Part 26.45: Step 2; DBE Goal Adjustment guidelines.</w:t>
      </w:r>
    </w:p>
    <w:p w14:paraId="118BDFD1" w14:textId="77777777" w:rsidR="00D50C12" w:rsidRPr="00196305" w:rsidRDefault="00D50C12" w:rsidP="00D50C12">
      <w:pPr>
        <w:pStyle w:val="Heading3"/>
        <w:ind w:left="1080"/>
        <w:rPr>
          <w:sz w:val="22"/>
          <w:szCs w:val="22"/>
        </w:rPr>
      </w:pPr>
      <w:bookmarkStart w:id="12" w:name="_Toc478465259"/>
      <w:bookmarkStart w:id="13" w:name="_Toc478542636"/>
      <w:bookmarkStart w:id="14" w:name="_Toc478543098"/>
      <w:bookmarkStart w:id="15" w:name="_Toc106633818"/>
      <w:bookmarkStart w:id="16" w:name="_Toc109725267"/>
      <w:r w:rsidRPr="00196305">
        <w:rPr>
          <w:sz w:val="22"/>
          <w:szCs w:val="22"/>
        </w:rPr>
        <w:t>Past DBE Goal Attainments</w:t>
      </w:r>
      <w:bookmarkEnd w:id="12"/>
      <w:bookmarkEnd w:id="13"/>
      <w:bookmarkEnd w:id="14"/>
      <w:bookmarkEnd w:id="15"/>
      <w:bookmarkEnd w:id="16"/>
    </w:p>
    <w:p w14:paraId="3E1619C9" w14:textId="229BFAD5" w:rsidR="00D50C12" w:rsidRDefault="00D50C12" w:rsidP="00D50C12">
      <w:pPr>
        <w:autoSpaceDE w:val="0"/>
        <w:autoSpaceDN w:val="0"/>
        <w:adjustRightInd w:val="0"/>
        <w:ind w:left="720"/>
        <w:jc w:val="both"/>
        <w:rPr>
          <w:rFonts w:eastAsia="Times New Roman" w:cstheme="minorHAnsi"/>
        </w:rPr>
      </w:pPr>
      <w:r w:rsidRPr="00CA70D0">
        <w:rPr>
          <w:rFonts w:eastAsia="Times New Roman" w:cstheme="minorHAnsi"/>
        </w:rPr>
        <w:t>Historical DBE participation attainments provide demonstrable evidence of DBE availability and capacity to perform on Unitrans</w:t>
      </w:r>
      <w:r w:rsidRPr="00CA70D0">
        <w:rPr>
          <w:rFonts w:eastAsia="Times New Roman" w:cstheme="minorHAnsi"/>
          <w:b/>
        </w:rPr>
        <w:t xml:space="preserve"> </w:t>
      </w:r>
      <w:r w:rsidRPr="00CA70D0">
        <w:rPr>
          <w:rFonts w:eastAsia="Times New Roman" w:cstheme="minorHAnsi"/>
        </w:rPr>
        <w:t xml:space="preserve">projects. The projects anticipated to be awarded during the triennial period are substantially similar to those awarded in the recent past. Unitrans proceeded to calculate past DBE participation attainments for the </w:t>
      </w:r>
      <w:r w:rsidR="005B3DED" w:rsidRPr="00CA70D0">
        <w:rPr>
          <w:rFonts w:eastAsia="Times New Roman" w:cstheme="minorHAnsi"/>
        </w:rPr>
        <w:t xml:space="preserve">three (3) </w:t>
      </w:r>
      <w:r w:rsidRPr="00CA70D0">
        <w:rPr>
          <w:rFonts w:eastAsia="Times New Roman" w:cstheme="minorHAnsi"/>
        </w:rPr>
        <w:t>federal fiscal years, for which DBE attainment data is available.  The table below reflects the demonstrated capacity of DBEs (measured by actual historical DBE participation attainments) on F</w:t>
      </w:r>
      <w:r w:rsidR="00333A16" w:rsidRPr="00CA70D0">
        <w:rPr>
          <w:rFonts w:eastAsia="Times New Roman" w:cstheme="minorHAnsi"/>
        </w:rPr>
        <w:t>T</w:t>
      </w:r>
      <w:r w:rsidRPr="00CA70D0">
        <w:rPr>
          <w:rFonts w:eastAsia="Times New Roman" w:cstheme="minorHAnsi"/>
        </w:rPr>
        <w:t>A-assisted contracts awarded by Unitrans.</w:t>
      </w:r>
    </w:p>
    <w:p w14:paraId="1C390D34" w14:textId="77777777" w:rsidR="00E07F8A" w:rsidRDefault="00E07F8A" w:rsidP="00D50C12">
      <w:pPr>
        <w:autoSpaceDE w:val="0"/>
        <w:autoSpaceDN w:val="0"/>
        <w:adjustRightInd w:val="0"/>
        <w:ind w:left="720"/>
        <w:jc w:val="both"/>
        <w:rPr>
          <w:rFonts w:eastAsia="Times New Roman" w:cstheme="minorHAnsi"/>
        </w:rPr>
      </w:pPr>
    </w:p>
    <w:p w14:paraId="76A3736A" w14:textId="77777777" w:rsidR="00CA70D0" w:rsidRDefault="00CA70D0" w:rsidP="00D50C12">
      <w:pPr>
        <w:autoSpaceDE w:val="0"/>
        <w:autoSpaceDN w:val="0"/>
        <w:adjustRightInd w:val="0"/>
        <w:ind w:left="720"/>
        <w:jc w:val="both"/>
        <w:rPr>
          <w:rFonts w:eastAsia="Times New Roman" w:cstheme="minorHAnsi"/>
        </w:rPr>
      </w:pPr>
    </w:p>
    <w:p w14:paraId="5AEA99D5" w14:textId="77777777" w:rsidR="00CA70D0" w:rsidRDefault="00CA70D0" w:rsidP="00D50C12">
      <w:pPr>
        <w:autoSpaceDE w:val="0"/>
        <w:autoSpaceDN w:val="0"/>
        <w:adjustRightInd w:val="0"/>
        <w:ind w:left="720"/>
        <w:jc w:val="both"/>
        <w:rPr>
          <w:rFonts w:eastAsia="Times New Roman" w:cstheme="minorHAnsi"/>
        </w:rPr>
      </w:pPr>
    </w:p>
    <w:p w14:paraId="5D16D87F" w14:textId="77777777" w:rsidR="00CA70D0" w:rsidRDefault="00CA70D0" w:rsidP="00D50C12">
      <w:pPr>
        <w:autoSpaceDE w:val="0"/>
        <w:autoSpaceDN w:val="0"/>
        <w:adjustRightInd w:val="0"/>
        <w:ind w:left="720"/>
        <w:jc w:val="both"/>
        <w:rPr>
          <w:rFonts w:eastAsia="Times New Roman" w:cstheme="minorHAnsi"/>
        </w:rPr>
      </w:pPr>
    </w:p>
    <w:p w14:paraId="70E80B15" w14:textId="77777777" w:rsidR="00D50C12" w:rsidRPr="00B42711" w:rsidRDefault="00D50C12" w:rsidP="00D50C12">
      <w:pPr>
        <w:autoSpaceDE w:val="0"/>
        <w:autoSpaceDN w:val="0"/>
        <w:adjustRightInd w:val="0"/>
        <w:spacing w:after="0"/>
        <w:jc w:val="center"/>
        <w:rPr>
          <w:rFonts w:eastAsia="Times New Roman" w:cstheme="minorHAnsi"/>
          <w:b/>
          <w:sz w:val="24"/>
        </w:rPr>
      </w:pPr>
      <w:r w:rsidRPr="00B42711">
        <w:rPr>
          <w:rFonts w:eastAsia="Times New Roman" w:cstheme="minorHAnsi"/>
          <w:b/>
          <w:sz w:val="24"/>
        </w:rPr>
        <w:t>TABLE 6: Past Participation</w:t>
      </w:r>
    </w:p>
    <w:p w14:paraId="10FE2762" w14:textId="77777777" w:rsidR="00D50C12" w:rsidRPr="00537C8C" w:rsidRDefault="00D50C12" w:rsidP="00D50C12">
      <w:pPr>
        <w:autoSpaceDE w:val="0"/>
        <w:autoSpaceDN w:val="0"/>
        <w:adjustRightInd w:val="0"/>
        <w:spacing w:after="0"/>
        <w:jc w:val="center"/>
        <w:rPr>
          <w:rFonts w:eastAsia="Times New Roman" w:cstheme="minorHAnsi"/>
          <w:i/>
          <w:szCs w:val="20"/>
        </w:rPr>
      </w:pPr>
      <w:r w:rsidRPr="00537C8C">
        <w:rPr>
          <w:rFonts w:eastAsia="Times New Roman" w:cstheme="minorHAnsi"/>
          <w:i/>
          <w:szCs w:val="20"/>
        </w:rPr>
        <w:t>(amounts subject to rounding differences)</w:t>
      </w:r>
    </w:p>
    <w:tbl>
      <w:tblPr>
        <w:tblW w:w="6475" w:type="dxa"/>
        <w:jc w:val="center"/>
        <w:tblLook w:val="04A0" w:firstRow="1" w:lastRow="0" w:firstColumn="1" w:lastColumn="0" w:noHBand="0" w:noVBand="1"/>
      </w:tblPr>
      <w:tblGrid>
        <w:gridCol w:w="2245"/>
        <w:gridCol w:w="2340"/>
        <w:gridCol w:w="1890"/>
      </w:tblGrid>
      <w:tr w:rsidR="00D50C12" w:rsidRPr="00537C8C" w14:paraId="226B09D8" w14:textId="77777777" w:rsidTr="00287D37">
        <w:trPr>
          <w:trHeight w:val="576"/>
          <w:jc w:val="center"/>
        </w:trPr>
        <w:tc>
          <w:tcPr>
            <w:tcW w:w="2245" w:type="dxa"/>
            <w:tcBorders>
              <w:top w:val="single" w:sz="4" w:space="0" w:color="auto"/>
              <w:left w:val="single" w:sz="4" w:space="0" w:color="auto"/>
              <w:bottom w:val="nil"/>
              <w:right w:val="single" w:sz="4" w:space="0" w:color="auto"/>
            </w:tcBorders>
            <w:shd w:val="clear" w:color="000000" w:fill="000000"/>
            <w:vAlign w:val="center"/>
            <w:hideMark/>
          </w:tcPr>
          <w:p w14:paraId="01398CBC" w14:textId="77777777" w:rsidR="00D50C12" w:rsidRPr="00537C8C" w:rsidRDefault="00D50C12" w:rsidP="00287D37">
            <w:pPr>
              <w:spacing w:after="0"/>
              <w:jc w:val="center"/>
              <w:rPr>
                <w:rFonts w:ascii="Calibri" w:eastAsia="Times New Roman" w:hAnsi="Calibri" w:cs="Calibri"/>
                <w:b/>
                <w:color w:val="FFFFFF"/>
              </w:rPr>
            </w:pPr>
            <w:r w:rsidRPr="00537C8C">
              <w:rPr>
                <w:rFonts w:ascii="Calibri" w:eastAsia="Times New Roman" w:hAnsi="Calibri" w:cs="Calibri"/>
                <w:b/>
                <w:color w:val="FFFFFF"/>
              </w:rPr>
              <w:t>FEDEAL FISCAL YEAR (FFY)</w:t>
            </w:r>
          </w:p>
        </w:tc>
        <w:tc>
          <w:tcPr>
            <w:tcW w:w="2340" w:type="dxa"/>
            <w:tcBorders>
              <w:top w:val="single" w:sz="4" w:space="0" w:color="auto"/>
              <w:left w:val="single" w:sz="4" w:space="0" w:color="auto"/>
              <w:bottom w:val="nil"/>
              <w:right w:val="single" w:sz="4" w:space="0" w:color="auto"/>
            </w:tcBorders>
            <w:shd w:val="clear" w:color="000000" w:fill="000000"/>
          </w:tcPr>
          <w:p w14:paraId="17D8A945" w14:textId="4C5DB2D3" w:rsidR="00D50C12" w:rsidRPr="00537C8C" w:rsidRDefault="00D50C12" w:rsidP="00287D37">
            <w:pPr>
              <w:spacing w:after="0"/>
              <w:jc w:val="center"/>
              <w:rPr>
                <w:rFonts w:ascii="Calibri" w:eastAsia="Times New Roman" w:hAnsi="Calibri" w:cs="Calibri"/>
                <w:b/>
                <w:color w:val="FFFFFF"/>
              </w:rPr>
            </w:pPr>
            <w:r w:rsidRPr="00537C8C">
              <w:rPr>
                <w:rFonts w:ascii="Calibri" w:eastAsia="Times New Roman" w:hAnsi="Calibri" w:cs="Calibri"/>
                <w:b/>
                <w:color w:val="FFFFFF"/>
              </w:rPr>
              <w:t>F</w:t>
            </w:r>
            <w:r w:rsidR="00333A16" w:rsidRPr="00537C8C">
              <w:rPr>
                <w:rFonts w:ascii="Calibri" w:eastAsia="Times New Roman" w:hAnsi="Calibri" w:cs="Calibri"/>
                <w:b/>
                <w:color w:val="FFFFFF"/>
              </w:rPr>
              <w:t>T</w:t>
            </w:r>
            <w:r w:rsidRPr="00537C8C">
              <w:rPr>
                <w:rFonts w:ascii="Calibri" w:eastAsia="Times New Roman" w:hAnsi="Calibri" w:cs="Calibri"/>
                <w:b/>
                <w:color w:val="FFFFFF"/>
              </w:rPr>
              <w:t xml:space="preserve">A DBE </w:t>
            </w:r>
            <w:r w:rsidRPr="00537C8C">
              <w:rPr>
                <w:rFonts w:ascii="Calibri" w:eastAsia="Times New Roman" w:hAnsi="Calibri" w:cs="Calibri"/>
                <w:b/>
                <w:color w:val="FFFFFF"/>
              </w:rPr>
              <w:br/>
              <w:t xml:space="preserve"> GOAL %</w:t>
            </w:r>
            <w:r w:rsidRPr="00537C8C">
              <w:rPr>
                <w:rStyle w:val="FootnoteReference"/>
                <w:rFonts w:ascii="Calibri" w:eastAsia="Times New Roman" w:hAnsi="Calibri" w:cs="Calibri"/>
                <w:b/>
                <w:color w:val="FFFFFF"/>
              </w:rPr>
              <w:footnoteReference w:id="18"/>
            </w:r>
          </w:p>
        </w:tc>
        <w:tc>
          <w:tcPr>
            <w:tcW w:w="1890" w:type="dxa"/>
            <w:tcBorders>
              <w:top w:val="single" w:sz="4" w:space="0" w:color="auto"/>
              <w:left w:val="single" w:sz="4" w:space="0" w:color="auto"/>
              <w:bottom w:val="single" w:sz="4" w:space="0" w:color="000000"/>
              <w:right w:val="single" w:sz="4" w:space="0" w:color="auto"/>
            </w:tcBorders>
            <w:shd w:val="clear" w:color="000000" w:fill="000000"/>
            <w:vAlign w:val="center"/>
            <w:hideMark/>
          </w:tcPr>
          <w:p w14:paraId="6DE26C8B" w14:textId="06D52DA3" w:rsidR="00D50C12" w:rsidRPr="00537C8C" w:rsidRDefault="00D50C12" w:rsidP="00287D37">
            <w:pPr>
              <w:spacing w:after="0"/>
              <w:jc w:val="center"/>
              <w:rPr>
                <w:rFonts w:ascii="Calibri" w:eastAsia="Times New Roman" w:hAnsi="Calibri" w:cs="Calibri"/>
                <w:b/>
                <w:color w:val="FFFFFF"/>
              </w:rPr>
            </w:pPr>
            <w:r w:rsidRPr="00537C8C">
              <w:rPr>
                <w:rFonts w:ascii="Calibri" w:eastAsia="Times New Roman" w:hAnsi="Calibri" w:cs="Calibri"/>
                <w:b/>
                <w:color w:val="FFFFFF"/>
              </w:rPr>
              <w:t>F</w:t>
            </w:r>
            <w:r w:rsidR="00333A16" w:rsidRPr="00537C8C">
              <w:rPr>
                <w:rFonts w:ascii="Calibri" w:eastAsia="Times New Roman" w:hAnsi="Calibri" w:cs="Calibri"/>
                <w:b/>
                <w:color w:val="FFFFFF"/>
              </w:rPr>
              <w:t>T</w:t>
            </w:r>
            <w:r w:rsidRPr="00537C8C">
              <w:rPr>
                <w:rFonts w:ascii="Calibri" w:eastAsia="Times New Roman" w:hAnsi="Calibri" w:cs="Calibri"/>
                <w:b/>
                <w:color w:val="FFFFFF"/>
              </w:rPr>
              <w:t>A DBE %</w:t>
            </w:r>
            <w:r w:rsidRPr="00537C8C">
              <w:rPr>
                <w:rFonts w:ascii="Calibri" w:eastAsia="Times New Roman" w:hAnsi="Calibri" w:cs="Calibri"/>
                <w:b/>
                <w:color w:val="FFFFFF"/>
              </w:rPr>
              <w:br/>
              <w:t>ATTAINMENT</w:t>
            </w:r>
          </w:p>
        </w:tc>
      </w:tr>
      <w:tr w:rsidR="00537C8C" w:rsidRPr="00537C8C" w14:paraId="4D78D002" w14:textId="77777777" w:rsidTr="00287D37">
        <w:trPr>
          <w:trHeight w:val="288"/>
          <w:jc w:val="center"/>
        </w:trPr>
        <w:tc>
          <w:tcPr>
            <w:tcW w:w="2245" w:type="dxa"/>
            <w:tcBorders>
              <w:top w:val="single" w:sz="4" w:space="0" w:color="000000"/>
              <w:left w:val="single" w:sz="4" w:space="0" w:color="auto"/>
              <w:bottom w:val="nil"/>
              <w:right w:val="nil"/>
            </w:tcBorders>
            <w:shd w:val="clear" w:color="auto" w:fill="auto"/>
            <w:noWrap/>
            <w:vAlign w:val="center"/>
          </w:tcPr>
          <w:p w14:paraId="3D826D36" w14:textId="77777777" w:rsidR="00537C8C" w:rsidRPr="00537C8C" w:rsidRDefault="00537C8C" w:rsidP="00537C8C">
            <w:pPr>
              <w:spacing w:after="0"/>
              <w:ind w:left="690"/>
              <w:rPr>
                <w:rFonts w:ascii="Calibri" w:eastAsia="Times New Roman" w:hAnsi="Calibri" w:cs="Calibri"/>
              </w:rPr>
            </w:pPr>
            <w:r w:rsidRPr="00537C8C">
              <w:rPr>
                <w:rFonts w:ascii="Calibri" w:hAnsi="Calibri" w:cs="Calibri"/>
                <w:color w:val="000000"/>
              </w:rPr>
              <w:t>FFY 2021</w:t>
            </w:r>
          </w:p>
        </w:tc>
        <w:tc>
          <w:tcPr>
            <w:tcW w:w="2340" w:type="dxa"/>
            <w:tcBorders>
              <w:top w:val="single" w:sz="4" w:space="0" w:color="000000"/>
              <w:left w:val="nil"/>
              <w:bottom w:val="nil"/>
            </w:tcBorders>
            <w:shd w:val="clear" w:color="auto" w:fill="auto"/>
          </w:tcPr>
          <w:p w14:paraId="4FA479D2" w14:textId="4BDF09A6" w:rsidR="00537C8C" w:rsidRPr="00537C8C" w:rsidRDefault="00537C8C" w:rsidP="00537C8C">
            <w:pPr>
              <w:spacing w:after="0"/>
              <w:jc w:val="center"/>
              <w:rPr>
                <w:rFonts w:ascii="Calibri" w:eastAsia="Times New Roman" w:hAnsi="Calibri" w:cs="Calibri"/>
              </w:rPr>
            </w:pPr>
            <w:r w:rsidRPr="00537C8C">
              <w:t>1.8%</w:t>
            </w:r>
          </w:p>
        </w:tc>
        <w:tc>
          <w:tcPr>
            <w:tcW w:w="1890" w:type="dxa"/>
            <w:tcBorders>
              <w:top w:val="single" w:sz="4" w:space="0" w:color="000000"/>
              <w:bottom w:val="nil"/>
              <w:right w:val="single" w:sz="4" w:space="0" w:color="auto"/>
            </w:tcBorders>
            <w:shd w:val="clear" w:color="auto" w:fill="auto"/>
            <w:noWrap/>
          </w:tcPr>
          <w:p w14:paraId="73E258E2" w14:textId="4282FCE6" w:rsidR="00537C8C" w:rsidRPr="00537C8C" w:rsidRDefault="00537C8C" w:rsidP="00537C8C">
            <w:pPr>
              <w:spacing w:after="0"/>
              <w:jc w:val="center"/>
              <w:rPr>
                <w:rFonts w:ascii="Calibri" w:eastAsia="Times New Roman" w:hAnsi="Calibri" w:cs="Calibri"/>
              </w:rPr>
            </w:pPr>
            <w:r w:rsidRPr="00537C8C">
              <w:rPr>
                <w:rFonts w:ascii="Calibri" w:hAnsi="Calibri" w:cs="Calibri"/>
                <w:color w:val="000000"/>
              </w:rPr>
              <w:t>1.3%</w:t>
            </w:r>
          </w:p>
        </w:tc>
      </w:tr>
      <w:tr w:rsidR="00537C8C" w:rsidRPr="00537C8C" w14:paraId="46498FB5" w14:textId="77777777" w:rsidTr="00287D37">
        <w:trPr>
          <w:trHeight w:val="288"/>
          <w:jc w:val="center"/>
        </w:trPr>
        <w:tc>
          <w:tcPr>
            <w:tcW w:w="2245" w:type="dxa"/>
            <w:tcBorders>
              <w:top w:val="single" w:sz="4" w:space="0" w:color="000000"/>
              <w:left w:val="single" w:sz="4" w:space="0" w:color="auto"/>
              <w:bottom w:val="nil"/>
              <w:right w:val="nil"/>
            </w:tcBorders>
            <w:shd w:val="clear" w:color="auto" w:fill="auto"/>
            <w:noWrap/>
            <w:vAlign w:val="center"/>
          </w:tcPr>
          <w:p w14:paraId="01EA94D9" w14:textId="66D6E2C5" w:rsidR="00537C8C" w:rsidRPr="00537C8C" w:rsidRDefault="00537C8C" w:rsidP="00537C8C">
            <w:pPr>
              <w:spacing w:after="0"/>
              <w:ind w:left="690"/>
              <w:rPr>
                <w:rFonts w:ascii="Calibri" w:hAnsi="Calibri" w:cs="Calibri"/>
                <w:color w:val="000000"/>
              </w:rPr>
            </w:pPr>
            <w:r w:rsidRPr="00537C8C">
              <w:rPr>
                <w:rFonts w:ascii="Calibri" w:hAnsi="Calibri" w:cs="Calibri"/>
                <w:color w:val="000000"/>
              </w:rPr>
              <w:t>FFY 2022</w:t>
            </w:r>
          </w:p>
        </w:tc>
        <w:tc>
          <w:tcPr>
            <w:tcW w:w="2340" w:type="dxa"/>
            <w:tcBorders>
              <w:top w:val="single" w:sz="4" w:space="0" w:color="000000"/>
              <w:left w:val="nil"/>
              <w:bottom w:val="nil"/>
            </w:tcBorders>
            <w:shd w:val="clear" w:color="auto" w:fill="auto"/>
          </w:tcPr>
          <w:p w14:paraId="1F5D06BA" w14:textId="175A0232" w:rsidR="00537C8C" w:rsidRPr="00537C8C" w:rsidRDefault="00537C8C" w:rsidP="00537C8C">
            <w:pPr>
              <w:spacing w:after="0"/>
              <w:jc w:val="center"/>
            </w:pPr>
            <w:r w:rsidRPr="00537C8C">
              <w:t>1.8</w:t>
            </w:r>
          </w:p>
        </w:tc>
        <w:tc>
          <w:tcPr>
            <w:tcW w:w="1890" w:type="dxa"/>
            <w:tcBorders>
              <w:top w:val="single" w:sz="4" w:space="0" w:color="000000"/>
              <w:bottom w:val="nil"/>
              <w:right w:val="single" w:sz="4" w:space="0" w:color="auto"/>
            </w:tcBorders>
            <w:shd w:val="clear" w:color="auto" w:fill="auto"/>
            <w:noWrap/>
          </w:tcPr>
          <w:p w14:paraId="4ED7C266" w14:textId="362CE304" w:rsidR="00537C8C" w:rsidRPr="00537C8C" w:rsidRDefault="00537C8C" w:rsidP="00537C8C">
            <w:pPr>
              <w:spacing w:after="0"/>
              <w:jc w:val="center"/>
            </w:pPr>
            <w:r w:rsidRPr="00537C8C">
              <w:rPr>
                <w:rFonts w:ascii="Calibri" w:hAnsi="Calibri" w:cs="Calibri"/>
                <w:color w:val="000000"/>
              </w:rPr>
              <w:t>1.6%</w:t>
            </w:r>
          </w:p>
        </w:tc>
      </w:tr>
      <w:tr w:rsidR="00537C8C" w:rsidRPr="00537C8C" w14:paraId="082BF9B2" w14:textId="77777777" w:rsidTr="00287D37">
        <w:trPr>
          <w:trHeight w:val="288"/>
          <w:jc w:val="center"/>
        </w:trPr>
        <w:tc>
          <w:tcPr>
            <w:tcW w:w="2245" w:type="dxa"/>
            <w:tcBorders>
              <w:top w:val="single" w:sz="4" w:space="0" w:color="000000"/>
              <w:left w:val="single" w:sz="4" w:space="0" w:color="auto"/>
              <w:bottom w:val="nil"/>
              <w:right w:val="nil"/>
            </w:tcBorders>
            <w:shd w:val="clear" w:color="auto" w:fill="auto"/>
            <w:noWrap/>
            <w:vAlign w:val="center"/>
          </w:tcPr>
          <w:p w14:paraId="1B749808" w14:textId="1C8B79B8" w:rsidR="00537C8C" w:rsidRPr="00537C8C" w:rsidRDefault="00537C8C" w:rsidP="00537C8C">
            <w:pPr>
              <w:spacing w:after="0"/>
              <w:ind w:left="690"/>
              <w:rPr>
                <w:rFonts w:ascii="Calibri" w:hAnsi="Calibri" w:cs="Calibri"/>
                <w:color w:val="000000"/>
              </w:rPr>
            </w:pPr>
            <w:r w:rsidRPr="00537C8C">
              <w:rPr>
                <w:rFonts w:ascii="Calibri" w:hAnsi="Calibri" w:cs="Calibri"/>
                <w:color w:val="000000"/>
              </w:rPr>
              <w:t>FFY 2023</w:t>
            </w:r>
          </w:p>
        </w:tc>
        <w:tc>
          <w:tcPr>
            <w:tcW w:w="2340" w:type="dxa"/>
            <w:tcBorders>
              <w:top w:val="single" w:sz="4" w:space="0" w:color="000000"/>
              <w:left w:val="nil"/>
              <w:bottom w:val="nil"/>
            </w:tcBorders>
            <w:shd w:val="clear" w:color="auto" w:fill="auto"/>
          </w:tcPr>
          <w:p w14:paraId="62F918FC" w14:textId="16C798EF" w:rsidR="00537C8C" w:rsidRPr="00537C8C" w:rsidRDefault="00537C8C" w:rsidP="00537C8C">
            <w:pPr>
              <w:spacing w:after="0"/>
              <w:jc w:val="center"/>
            </w:pPr>
            <w:r w:rsidRPr="00537C8C">
              <w:t>1.8</w:t>
            </w:r>
          </w:p>
        </w:tc>
        <w:tc>
          <w:tcPr>
            <w:tcW w:w="1890" w:type="dxa"/>
            <w:tcBorders>
              <w:top w:val="single" w:sz="4" w:space="0" w:color="000000"/>
              <w:bottom w:val="nil"/>
              <w:right w:val="single" w:sz="4" w:space="0" w:color="auto"/>
            </w:tcBorders>
            <w:shd w:val="clear" w:color="auto" w:fill="auto"/>
            <w:noWrap/>
          </w:tcPr>
          <w:p w14:paraId="09407097" w14:textId="33345172" w:rsidR="00537C8C" w:rsidRPr="00537C8C" w:rsidRDefault="005712DD" w:rsidP="00537C8C">
            <w:pPr>
              <w:spacing w:after="0"/>
              <w:jc w:val="center"/>
            </w:pPr>
            <w:r>
              <w:rPr>
                <w:rFonts w:ascii="Calibri" w:hAnsi="Calibri" w:cs="Calibri"/>
                <w:color w:val="000000"/>
              </w:rPr>
              <w:t>1.9</w:t>
            </w:r>
            <w:r w:rsidR="00537C8C" w:rsidRPr="00537C8C">
              <w:rPr>
                <w:rFonts w:ascii="Calibri" w:hAnsi="Calibri" w:cs="Calibri"/>
                <w:color w:val="000000"/>
              </w:rPr>
              <w:t>%</w:t>
            </w:r>
          </w:p>
        </w:tc>
      </w:tr>
      <w:tr w:rsidR="00D50C12" w:rsidRPr="00537C8C" w14:paraId="647C73FB" w14:textId="77777777" w:rsidTr="00287D37">
        <w:trPr>
          <w:trHeight w:val="576"/>
          <w:jc w:val="center"/>
        </w:trPr>
        <w:tc>
          <w:tcPr>
            <w:tcW w:w="4585" w:type="dxa"/>
            <w:gridSpan w:val="2"/>
            <w:tcBorders>
              <w:top w:val="single" w:sz="4" w:space="0" w:color="auto"/>
              <w:left w:val="single" w:sz="4" w:space="0" w:color="auto"/>
              <w:bottom w:val="single" w:sz="4" w:space="0" w:color="auto"/>
              <w:right w:val="nil"/>
            </w:tcBorders>
            <w:shd w:val="clear" w:color="auto" w:fill="auto"/>
            <w:vAlign w:val="center"/>
            <w:hideMark/>
          </w:tcPr>
          <w:p w14:paraId="2ED0CAF3" w14:textId="77777777" w:rsidR="00D50C12" w:rsidRPr="00537C8C" w:rsidRDefault="00D50C12" w:rsidP="00287D37">
            <w:pPr>
              <w:spacing w:after="0"/>
              <w:jc w:val="center"/>
              <w:rPr>
                <w:rFonts w:ascii="Calibri" w:eastAsia="Times New Roman" w:hAnsi="Calibri" w:cs="Calibri"/>
                <w:b/>
              </w:rPr>
            </w:pPr>
            <w:r w:rsidRPr="00537C8C">
              <w:rPr>
                <w:rFonts w:ascii="Calibri" w:eastAsia="Times New Roman" w:hAnsi="Calibri" w:cs="Calibri"/>
                <w:b/>
              </w:rPr>
              <w:t xml:space="preserve">Median DBE Attainment Within the Last </w:t>
            </w:r>
            <w:r w:rsidRPr="00537C8C">
              <w:rPr>
                <w:rFonts w:ascii="Calibri" w:eastAsia="Times New Roman" w:hAnsi="Calibri" w:cs="Calibri"/>
                <w:b/>
                <w:bCs/>
              </w:rPr>
              <w:t>7</w:t>
            </w:r>
            <w:r w:rsidRPr="00537C8C">
              <w:rPr>
                <w:rFonts w:ascii="Calibri" w:eastAsia="Times New Roman" w:hAnsi="Calibri" w:cs="Calibri"/>
                <w:b/>
              </w:rPr>
              <w:t xml:space="preserve"> FFYs</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B06872C" w14:textId="27E6CB95" w:rsidR="00D50C12" w:rsidRPr="00537C8C" w:rsidRDefault="00537C8C" w:rsidP="00287D37">
            <w:pPr>
              <w:spacing w:after="0"/>
              <w:jc w:val="center"/>
              <w:rPr>
                <w:rFonts w:ascii="Calibri" w:eastAsia="Times New Roman" w:hAnsi="Calibri" w:cs="Calibri"/>
                <w:b/>
              </w:rPr>
            </w:pPr>
            <w:r w:rsidRPr="00537C8C">
              <w:rPr>
                <w:rFonts w:ascii="Calibri" w:hAnsi="Calibri" w:cs="Calibri"/>
                <w:b/>
                <w:bCs/>
                <w:color w:val="000000"/>
              </w:rPr>
              <w:t>1.</w:t>
            </w:r>
            <w:r w:rsidR="005712DD">
              <w:rPr>
                <w:rFonts w:ascii="Calibri" w:hAnsi="Calibri" w:cs="Calibri"/>
                <w:b/>
                <w:bCs/>
                <w:color w:val="000000"/>
              </w:rPr>
              <w:t>6</w:t>
            </w:r>
            <w:r w:rsidR="00D50C12" w:rsidRPr="00537C8C">
              <w:rPr>
                <w:rFonts w:ascii="Calibri" w:hAnsi="Calibri" w:cs="Calibri"/>
                <w:b/>
                <w:color w:val="000000"/>
              </w:rPr>
              <w:t>%</w:t>
            </w:r>
          </w:p>
        </w:tc>
      </w:tr>
    </w:tbl>
    <w:p w14:paraId="157A4B96" w14:textId="77777777" w:rsidR="00D50C12" w:rsidRPr="00537C8C" w:rsidRDefault="00D50C12" w:rsidP="00D50C12">
      <w:pPr>
        <w:tabs>
          <w:tab w:val="left" w:pos="3345"/>
        </w:tabs>
        <w:autoSpaceDE w:val="0"/>
        <w:autoSpaceDN w:val="0"/>
        <w:adjustRightInd w:val="0"/>
        <w:spacing w:after="0"/>
        <w:ind w:left="1440"/>
        <w:jc w:val="both"/>
        <w:rPr>
          <w:rFonts w:eastAsia="Times New Roman" w:cstheme="minorHAnsi"/>
          <w:b/>
        </w:rPr>
      </w:pPr>
    </w:p>
    <w:p w14:paraId="0FB28672" w14:textId="59FE5752" w:rsidR="00D50C12" w:rsidRPr="002D7E77" w:rsidRDefault="00D50C12" w:rsidP="00D50C12">
      <w:pPr>
        <w:autoSpaceDE w:val="0"/>
        <w:autoSpaceDN w:val="0"/>
        <w:adjustRightInd w:val="0"/>
        <w:spacing w:after="0"/>
        <w:ind w:left="720"/>
        <w:jc w:val="both"/>
        <w:rPr>
          <w:rFonts w:eastAsia="Times New Roman" w:cstheme="minorHAnsi"/>
        </w:rPr>
      </w:pPr>
      <w:r w:rsidRPr="00537C8C">
        <w:rPr>
          <w:rFonts w:eastAsia="Times New Roman" w:cstheme="minorHAnsi"/>
        </w:rPr>
        <w:t>The median established for the past federal fiscal years (</w:t>
      </w:r>
      <w:r w:rsidR="00537C8C" w:rsidRPr="00537C8C">
        <w:rPr>
          <w:rFonts w:eastAsia="Times New Roman" w:cstheme="minorHAnsi"/>
        </w:rPr>
        <w:t>1.</w:t>
      </w:r>
      <w:r w:rsidR="005712DD">
        <w:rPr>
          <w:rFonts w:eastAsia="Times New Roman" w:cstheme="minorHAnsi"/>
        </w:rPr>
        <w:t>6</w:t>
      </w:r>
      <w:r w:rsidRPr="00537C8C">
        <w:rPr>
          <w:rFonts w:eastAsia="Times New Roman" w:cstheme="minorHAnsi"/>
        </w:rPr>
        <w:t>%) is lower than the Base Figure derived from Step 1 (</w:t>
      </w:r>
      <w:r w:rsidR="00537C8C" w:rsidRPr="00537C8C">
        <w:rPr>
          <w:rFonts w:eastAsia="Times New Roman" w:cstheme="minorHAnsi"/>
        </w:rPr>
        <w:t>3.5</w:t>
      </w:r>
      <w:r w:rsidRPr="00537C8C">
        <w:rPr>
          <w:rFonts w:eastAsia="Times New Roman" w:cstheme="minorHAnsi"/>
        </w:rPr>
        <w:t>%); therefore, an adjustment to the Base Figure based on Unitrans past DBE goal attainments has been made. The adjustment is calculated in accordance with F</w:t>
      </w:r>
      <w:r w:rsidR="00333A16" w:rsidRPr="00537C8C">
        <w:rPr>
          <w:rFonts w:eastAsia="Times New Roman" w:cstheme="minorHAnsi"/>
        </w:rPr>
        <w:t>T</w:t>
      </w:r>
      <w:r w:rsidRPr="00537C8C">
        <w:rPr>
          <w:rFonts w:eastAsia="Times New Roman" w:cstheme="minorHAnsi"/>
        </w:rPr>
        <w:t>A guidance by averaging the Base</w:t>
      </w:r>
      <w:r w:rsidRPr="002D7E77">
        <w:rPr>
          <w:rFonts w:eastAsia="Times New Roman" w:cstheme="minorHAnsi"/>
        </w:rPr>
        <w:t xml:space="preserve"> Figure with the median DBE Past Attainment, as shown below.</w:t>
      </w:r>
    </w:p>
    <w:p w14:paraId="4EDC8BCB" w14:textId="77777777" w:rsidR="00D50C12" w:rsidRPr="002D7E77" w:rsidRDefault="00D50C12" w:rsidP="00D50C12">
      <w:pPr>
        <w:autoSpaceDE w:val="0"/>
        <w:autoSpaceDN w:val="0"/>
        <w:adjustRightInd w:val="0"/>
        <w:spacing w:after="0"/>
        <w:ind w:left="720"/>
        <w:jc w:val="both"/>
        <w:rPr>
          <w:rFonts w:eastAsia="Times New Roman" w:cstheme="minorHAnsi"/>
        </w:rPr>
      </w:pPr>
    </w:p>
    <w:p w14:paraId="7DEBD66A" w14:textId="77777777" w:rsidR="00D50C12" w:rsidRPr="002D7E77" w:rsidRDefault="00D50C12" w:rsidP="00D50C12">
      <w:pPr>
        <w:autoSpaceDE w:val="0"/>
        <w:autoSpaceDN w:val="0"/>
        <w:adjustRightInd w:val="0"/>
        <w:spacing w:after="0"/>
        <w:jc w:val="center"/>
        <w:rPr>
          <w:rFonts w:eastAsia="Times New Roman" w:cstheme="minorHAnsi"/>
          <w:b/>
          <w:sz w:val="24"/>
        </w:rPr>
      </w:pPr>
      <w:r w:rsidRPr="002D7E77">
        <w:rPr>
          <w:rFonts w:eastAsia="Times New Roman" w:cstheme="minorHAnsi"/>
          <w:b/>
          <w:sz w:val="24"/>
        </w:rPr>
        <w:t>TABLE 7: Adjusted Base Figure</w:t>
      </w:r>
    </w:p>
    <w:p w14:paraId="5B8DA162" w14:textId="77777777" w:rsidR="00D50C12" w:rsidRPr="002D7E77" w:rsidRDefault="00D50C12" w:rsidP="00D50C12">
      <w:pPr>
        <w:autoSpaceDE w:val="0"/>
        <w:autoSpaceDN w:val="0"/>
        <w:adjustRightInd w:val="0"/>
        <w:spacing w:after="0"/>
        <w:jc w:val="center"/>
        <w:rPr>
          <w:rFonts w:eastAsia="Times New Roman" w:cstheme="minorHAnsi"/>
          <w:i/>
          <w:szCs w:val="20"/>
        </w:rPr>
      </w:pPr>
      <w:r w:rsidRPr="002D7E77">
        <w:rPr>
          <w:rFonts w:eastAsia="Times New Roman" w:cstheme="minorHAnsi"/>
          <w:i/>
          <w:szCs w:val="20"/>
        </w:rPr>
        <w:t>(amounts subject to rounding differences)</w:t>
      </w:r>
    </w:p>
    <w:tbl>
      <w:tblPr>
        <w:tblStyle w:val="TableProfessional"/>
        <w:tblW w:w="0" w:type="auto"/>
        <w:jc w:val="center"/>
        <w:tblLook w:val="04A0" w:firstRow="1" w:lastRow="0" w:firstColumn="1" w:lastColumn="0" w:noHBand="0" w:noVBand="1"/>
      </w:tblPr>
      <w:tblGrid>
        <w:gridCol w:w="3416"/>
        <w:gridCol w:w="1354"/>
      </w:tblGrid>
      <w:tr w:rsidR="00D50C12" w:rsidRPr="00537C8C" w14:paraId="613060FA" w14:textId="77777777" w:rsidTr="00287D37">
        <w:trPr>
          <w:cnfStyle w:val="100000000000" w:firstRow="1" w:lastRow="0" w:firstColumn="0" w:lastColumn="0" w:oddVBand="0" w:evenVBand="0" w:oddHBand="0" w:evenHBand="0" w:firstRowFirstColumn="0" w:firstRowLastColumn="0" w:lastRowFirstColumn="0" w:lastRowLastColumn="0"/>
          <w:jc w:val="center"/>
        </w:trPr>
        <w:tc>
          <w:tcPr>
            <w:tcW w:w="3416" w:type="dxa"/>
            <w:shd w:val="clear" w:color="auto" w:fill="FFFFFF" w:themeFill="background1"/>
          </w:tcPr>
          <w:p w14:paraId="637516A0" w14:textId="77777777" w:rsidR="00D50C12" w:rsidRPr="00537C8C" w:rsidRDefault="00D50C12" w:rsidP="00287D37">
            <w:pPr>
              <w:autoSpaceDE w:val="0"/>
              <w:autoSpaceDN w:val="0"/>
              <w:adjustRightInd w:val="0"/>
              <w:spacing w:before="120"/>
              <w:jc w:val="both"/>
              <w:rPr>
                <w:rFonts w:asciiTheme="minorHAnsi" w:hAnsiTheme="minorHAnsi" w:cstheme="minorHAnsi"/>
                <w:b w:val="0"/>
                <w:color w:val="444444" w:themeColor="text1"/>
                <w:sz w:val="22"/>
                <w:szCs w:val="22"/>
              </w:rPr>
            </w:pPr>
            <w:r w:rsidRPr="00537C8C">
              <w:rPr>
                <w:rFonts w:asciiTheme="minorHAnsi" w:hAnsiTheme="minorHAnsi" w:cstheme="minorHAnsi"/>
                <w:b w:val="0"/>
                <w:color w:val="444444" w:themeColor="text1"/>
                <w:sz w:val="22"/>
                <w:szCs w:val="22"/>
              </w:rPr>
              <w:t>Step 1 Base Figure</w:t>
            </w:r>
            <w:r w:rsidRPr="00537C8C">
              <w:rPr>
                <w:rStyle w:val="FootnoteReference"/>
                <w:rFonts w:asciiTheme="minorHAnsi" w:eastAsiaTheme="majorEastAsia" w:hAnsiTheme="minorHAnsi" w:cstheme="minorHAnsi"/>
                <w:b w:val="0"/>
                <w:color w:val="444444" w:themeColor="text1"/>
                <w:sz w:val="22"/>
                <w:szCs w:val="22"/>
              </w:rPr>
              <w:footnoteReference w:id="19"/>
            </w:r>
          </w:p>
        </w:tc>
        <w:tc>
          <w:tcPr>
            <w:tcW w:w="1354" w:type="dxa"/>
            <w:shd w:val="clear" w:color="auto" w:fill="FFFFFF" w:themeFill="background1"/>
          </w:tcPr>
          <w:p w14:paraId="1DF1D2CA" w14:textId="456FFAD3" w:rsidR="00D50C12" w:rsidRPr="00537C8C" w:rsidRDefault="00537C8C" w:rsidP="00287D37">
            <w:pPr>
              <w:autoSpaceDE w:val="0"/>
              <w:autoSpaceDN w:val="0"/>
              <w:adjustRightInd w:val="0"/>
              <w:spacing w:before="120"/>
              <w:jc w:val="center"/>
              <w:rPr>
                <w:rFonts w:asciiTheme="minorHAnsi" w:hAnsiTheme="minorHAnsi" w:cstheme="minorHAnsi"/>
                <w:b w:val="0"/>
                <w:bCs w:val="0"/>
                <w:color w:val="444444" w:themeColor="text1"/>
                <w:sz w:val="22"/>
                <w:szCs w:val="22"/>
              </w:rPr>
            </w:pPr>
            <w:r w:rsidRPr="00537C8C">
              <w:rPr>
                <w:rFonts w:asciiTheme="minorHAnsi" w:hAnsiTheme="minorHAnsi" w:cstheme="minorHAnsi"/>
                <w:b w:val="0"/>
                <w:bCs w:val="0"/>
                <w:sz w:val="22"/>
                <w:szCs w:val="22"/>
              </w:rPr>
              <w:t>3.5</w:t>
            </w:r>
            <w:r w:rsidR="00D50C12" w:rsidRPr="00537C8C">
              <w:rPr>
                <w:rFonts w:asciiTheme="minorHAnsi" w:hAnsiTheme="minorHAnsi" w:cstheme="minorHAnsi"/>
                <w:b w:val="0"/>
                <w:bCs w:val="0"/>
                <w:sz w:val="22"/>
                <w:szCs w:val="22"/>
              </w:rPr>
              <w:t>%</w:t>
            </w:r>
          </w:p>
        </w:tc>
      </w:tr>
      <w:tr w:rsidR="00D50C12" w:rsidRPr="00537C8C" w14:paraId="09845B6A" w14:textId="77777777" w:rsidTr="00287D37">
        <w:trPr>
          <w:jc w:val="center"/>
        </w:trPr>
        <w:tc>
          <w:tcPr>
            <w:tcW w:w="3416" w:type="dxa"/>
          </w:tcPr>
          <w:p w14:paraId="18054F9C" w14:textId="77777777" w:rsidR="00D50C12" w:rsidRPr="00537C8C" w:rsidRDefault="00D50C12" w:rsidP="00287D37">
            <w:pPr>
              <w:autoSpaceDE w:val="0"/>
              <w:autoSpaceDN w:val="0"/>
              <w:adjustRightInd w:val="0"/>
              <w:spacing w:before="120"/>
              <w:jc w:val="both"/>
              <w:rPr>
                <w:rFonts w:asciiTheme="minorHAnsi" w:hAnsiTheme="minorHAnsi" w:cstheme="minorHAnsi"/>
                <w:b/>
                <w:sz w:val="22"/>
                <w:szCs w:val="22"/>
              </w:rPr>
            </w:pPr>
            <w:r w:rsidRPr="00537C8C">
              <w:rPr>
                <w:rFonts w:asciiTheme="minorHAnsi" w:hAnsiTheme="minorHAnsi" w:cstheme="minorHAnsi"/>
                <w:sz w:val="22"/>
                <w:szCs w:val="22"/>
              </w:rPr>
              <w:t>Median DBE Attainment</w:t>
            </w:r>
            <w:r w:rsidRPr="00537C8C">
              <w:rPr>
                <w:rStyle w:val="FootnoteReference"/>
                <w:rFonts w:asciiTheme="minorHAnsi" w:eastAsiaTheme="majorEastAsia" w:hAnsiTheme="minorHAnsi" w:cstheme="minorHAnsi"/>
                <w:sz w:val="22"/>
                <w:szCs w:val="22"/>
              </w:rPr>
              <w:footnoteReference w:id="20"/>
            </w:r>
          </w:p>
        </w:tc>
        <w:tc>
          <w:tcPr>
            <w:tcW w:w="1354" w:type="dxa"/>
          </w:tcPr>
          <w:p w14:paraId="1ECBBFA8" w14:textId="078B2AF9" w:rsidR="00D50C12" w:rsidRPr="00537C8C" w:rsidRDefault="00537C8C" w:rsidP="00287D37">
            <w:pPr>
              <w:autoSpaceDE w:val="0"/>
              <w:autoSpaceDN w:val="0"/>
              <w:adjustRightInd w:val="0"/>
              <w:spacing w:before="120"/>
              <w:jc w:val="center"/>
              <w:rPr>
                <w:rFonts w:asciiTheme="minorHAnsi" w:hAnsiTheme="minorHAnsi" w:cstheme="minorHAnsi"/>
                <w:sz w:val="22"/>
                <w:szCs w:val="22"/>
              </w:rPr>
            </w:pPr>
            <w:r w:rsidRPr="00537C8C">
              <w:rPr>
                <w:rFonts w:asciiTheme="minorHAnsi" w:hAnsiTheme="minorHAnsi" w:cstheme="minorHAnsi"/>
                <w:sz w:val="22"/>
                <w:szCs w:val="22"/>
              </w:rPr>
              <w:t>1.</w:t>
            </w:r>
            <w:r w:rsidR="005712DD">
              <w:rPr>
                <w:rFonts w:asciiTheme="minorHAnsi" w:hAnsiTheme="minorHAnsi" w:cstheme="minorHAnsi"/>
                <w:sz w:val="22"/>
                <w:szCs w:val="22"/>
              </w:rPr>
              <w:t>6</w:t>
            </w:r>
            <w:r w:rsidR="00D50C12" w:rsidRPr="00537C8C">
              <w:rPr>
                <w:rFonts w:asciiTheme="minorHAnsi" w:hAnsiTheme="minorHAnsi" w:cstheme="minorHAnsi"/>
                <w:sz w:val="22"/>
                <w:szCs w:val="22"/>
              </w:rPr>
              <w:t>%</w:t>
            </w:r>
          </w:p>
        </w:tc>
      </w:tr>
      <w:tr w:rsidR="00D50C12" w:rsidRPr="00D50C12" w14:paraId="32BE0DD3" w14:textId="77777777" w:rsidTr="00287D37">
        <w:trPr>
          <w:jc w:val="center"/>
        </w:trPr>
        <w:tc>
          <w:tcPr>
            <w:tcW w:w="3416" w:type="dxa"/>
            <w:shd w:val="clear" w:color="auto" w:fill="444444" w:themeFill="text1"/>
          </w:tcPr>
          <w:p w14:paraId="35B39AA5" w14:textId="77777777" w:rsidR="00D50C12" w:rsidRPr="00537C8C" w:rsidRDefault="00D50C12" w:rsidP="00287D37">
            <w:pPr>
              <w:autoSpaceDE w:val="0"/>
              <w:autoSpaceDN w:val="0"/>
              <w:adjustRightInd w:val="0"/>
              <w:spacing w:before="120"/>
              <w:jc w:val="both"/>
              <w:rPr>
                <w:rFonts w:asciiTheme="minorHAnsi" w:hAnsiTheme="minorHAnsi" w:cstheme="minorHAnsi"/>
                <w:b/>
                <w:color w:val="FFFFFF" w:themeColor="background1"/>
                <w:sz w:val="22"/>
                <w:szCs w:val="22"/>
              </w:rPr>
            </w:pPr>
            <w:r w:rsidRPr="00537C8C">
              <w:rPr>
                <w:rFonts w:asciiTheme="minorHAnsi" w:hAnsiTheme="minorHAnsi" w:cstheme="minorHAnsi"/>
                <w:b/>
                <w:color w:val="FFFFFF" w:themeColor="background1"/>
                <w:sz w:val="22"/>
                <w:szCs w:val="22"/>
              </w:rPr>
              <w:t>Adjusted Base Figure</w:t>
            </w:r>
            <w:r w:rsidRPr="00537C8C">
              <w:rPr>
                <w:rStyle w:val="FootnoteReference"/>
                <w:rFonts w:asciiTheme="minorHAnsi" w:eastAsiaTheme="majorEastAsia" w:hAnsiTheme="minorHAnsi" w:cstheme="minorHAnsi"/>
                <w:b/>
                <w:color w:val="FFFFFF" w:themeColor="background1"/>
                <w:sz w:val="22"/>
                <w:szCs w:val="22"/>
              </w:rPr>
              <w:footnoteReference w:id="21"/>
            </w:r>
          </w:p>
        </w:tc>
        <w:tc>
          <w:tcPr>
            <w:tcW w:w="1354" w:type="dxa"/>
            <w:shd w:val="clear" w:color="auto" w:fill="444444" w:themeFill="text1"/>
          </w:tcPr>
          <w:p w14:paraId="46407B11" w14:textId="6941B16D" w:rsidR="00D50C12" w:rsidRPr="00537C8C" w:rsidRDefault="00537C8C" w:rsidP="00287D37">
            <w:pPr>
              <w:autoSpaceDE w:val="0"/>
              <w:autoSpaceDN w:val="0"/>
              <w:adjustRightInd w:val="0"/>
              <w:spacing w:before="120"/>
              <w:jc w:val="center"/>
              <w:rPr>
                <w:rFonts w:asciiTheme="minorHAnsi" w:hAnsiTheme="minorHAnsi" w:cstheme="minorHAnsi"/>
                <w:b/>
                <w:bCs/>
                <w:color w:val="FFFFFF" w:themeColor="background1"/>
                <w:sz w:val="22"/>
                <w:szCs w:val="22"/>
              </w:rPr>
            </w:pPr>
            <w:r w:rsidRPr="00537C8C">
              <w:rPr>
                <w:rFonts w:asciiTheme="minorHAnsi" w:hAnsiTheme="minorHAnsi" w:cstheme="minorHAnsi"/>
                <w:b/>
                <w:color w:val="FFFFFF" w:themeColor="background1"/>
                <w:sz w:val="22"/>
                <w:szCs w:val="22"/>
              </w:rPr>
              <w:t>2.</w:t>
            </w:r>
            <w:r w:rsidR="005712DD">
              <w:rPr>
                <w:rFonts w:asciiTheme="minorHAnsi" w:hAnsiTheme="minorHAnsi" w:cstheme="minorHAnsi"/>
                <w:b/>
                <w:color w:val="FFFFFF" w:themeColor="background1"/>
                <w:sz w:val="22"/>
                <w:szCs w:val="22"/>
              </w:rPr>
              <w:t>5</w:t>
            </w:r>
            <w:r w:rsidR="00D50C12" w:rsidRPr="00537C8C">
              <w:rPr>
                <w:rFonts w:asciiTheme="minorHAnsi" w:hAnsiTheme="minorHAnsi" w:cstheme="minorHAnsi"/>
                <w:b/>
                <w:color w:val="FFFFFF" w:themeColor="background1"/>
                <w:sz w:val="22"/>
                <w:szCs w:val="22"/>
              </w:rPr>
              <w:t>%</w:t>
            </w:r>
          </w:p>
        </w:tc>
      </w:tr>
    </w:tbl>
    <w:p w14:paraId="4025188A" w14:textId="77777777" w:rsidR="00D50C12" w:rsidRPr="002D7E77" w:rsidRDefault="00D50C12" w:rsidP="00D50C12">
      <w:pPr>
        <w:autoSpaceDE w:val="0"/>
        <w:autoSpaceDN w:val="0"/>
        <w:adjustRightInd w:val="0"/>
        <w:spacing w:after="0"/>
        <w:ind w:left="720"/>
        <w:jc w:val="both"/>
        <w:rPr>
          <w:rFonts w:eastAsia="Times New Roman" w:cstheme="minorHAnsi"/>
        </w:rPr>
      </w:pPr>
    </w:p>
    <w:p w14:paraId="6A2B4B82" w14:textId="77777777" w:rsidR="00D50C12" w:rsidRPr="005148D9" w:rsidRDefault="00D50C12" w:rsidP="00D50C12">
      <w:pPr>
        <w:pStyle w:val="Heading3"/>
        <w:ind w:left="1080"/>
        <w:rPr>
          <w:sz w:val="22"/>
          <w:szCs w:val="22"/>
        </w:rPr>
      </w:pPr>
      <w:bookmarkStart w:id="17" w:name="_Toc419977954"/>
      <w:bookmarkStart w:id="18" w:name="_Toc478542638"/>
      <w:bookmarkStart w:id="19" w:name="_Toc478543100"/>
      <w:bookmarkStart w:id="20" w:name="_Toc106633819"/>
      <w:bookmarkStart w:id="21" w:name="_Toc109725268"/>
      <w:r w:rsidRPr="005148D9">
        <w:rPr>
          <w:sz w:val="22"/>
          <w:szCs w:val="22"/>
        </w:rPr>
        <w:t>Disparity Studies</w:t>
      </w:r>
      <w:bookmarkEnd w:id="17"/>
      <w:bookmarkEnd w:id="18"/>
      <w:bookmarkEnd w:id="19"/>
      <w:bookmarkEnd w:id="20"/>
      <w:bookmarkEnd w:id="21"/>
      <w:r w:rsidRPr="005148D9">
        <w:rPr>
          <w:sz w:val="22"/>
          <w:szCs w:val="22"/>
        </w:rPr>
        <w:t xml:space="preserve"> </w:t>
      </w:r>
    </w:p>
    <w:p w14:paraId="03FF573F" w14:textId="4A7749C2" w:rsidR="009A015A" w:rsidRPr="00560E53" w:rsidRDefault="009A015A" w:rsidP="009A015A">
      <w:pPr>
        <w:autoSpaceDE w:val="0"/>
        <w:autoSpaceDN w:val="0"/>
        <w:adjustRightInd w:val="0"/>
        <w:spacing w:after="240"/>
        <w:ind w:left="720"/>
        <w:jc w:val="both"/>
        <w:rPr>
          <w:rFonts w:eastAsia="Times New Roman" w:cstheme="minorHAnsi"/>
          <w:szCs w:val="20"/>
        </w:rPr>
      </w:pPr>
      <w:bookmarkStart w:id="22" w:name="_Toc419977955"/>
      <w:bookmarkStart w:id="23" w:name="_Toc478542639"/>
      <w:bookmarkStart w:id="24" w:name="_Toc478543101"/>
      <w:bookmarkStart w:id="25" w:name="_Toc106633820"/>
      <w:bookmarkStart w:id="26" w:name="_Toc109725269"/>
      <w:r w:rsidRPr="00560E53">
        <w:rPr>
          <w:rFonts w:eastAsia="Times New Roman" w:cstheme="minorHAnsi"/>
          <w:szCs w:val="20"/>
        </w:rPr>
        <w:t>Unitrans has not conducted an Availability and Disparity Study but has reviewed the draft results from the Caltrans 20</w:t>
      </w:r>
      <w:r w:rsidR="00560E53" w:rsidRPr="00560E53">
        <w:rPr>
          <w:rFonts w:eastAsia="Times New Roman" w:cstheme="minorHAnsi"/>
          <w:szCs w:val="20"/>
        </w:rPr>
        <w:t xml:space="preserve">22 </w:t>
      </w:r>
      <w:r w:rsidRPr="00560E53">
        <w:rPr>
          <w:rFonts w:eastAsia="Times New Roman" w:cstheme="minorHAnsi"/>
          <w:szCs w:val="20"/>
        </w:rPr>
        <w:t>FTA Disparity Study. Unitrans determined that the types of work included in the disparity study along with their respective market area are not representative of the projected FTA-assisted contracts for this upcoming triennial period. Unitrans has elected to not use the Caltrans 20</w:t>
      </w:r>
      <w:r w:rsidR="00560E53" w:rsidRPr="00560E53">
        <w:rPr>
          <w:rFonts w:eastAsia="Times New Roman" w:cstheme="minorHAnsi"/>
          <w:szCs w:val="20"/>
        </w:rPr>
        <w:t>22</w:t>
      </w:r>
      <w:r w:rsidRPr="00560E53">
        <w:rPr>
          <w:rFonts w:eastAsia="Times New Roman" w:cstheme="minorHAnsi"/>
          <w:szCs w:val="20"/>
        </w:rPr>
        <w:t xml:space="preserve"> FTA Disparity Study data as a basis for adjusting the base figure for this triennial period.</w:t>
      </w:r>
    </w:p>
    <w:p w14:paraId="75C2CDBF" w14:textId="42AA0BAE" w:rsidR="009A015A" w:rsidRPr="009A015A" w:rsidRDefault="009A015A" w:rsidP="009A015A">
      <w:pPr>
        <w:autoSpaceDE w:val="0"/>
        <w:autoSpaceDN w:val="0"/>
        <w:adjustRightInd w:val="0"/>
        <w:spacing w:after="240"/>
        <w:ind w:left="720"/>
        <w:jc w:val="both"/>
        <w:rPr>
          <w:rFonts w:eastAsia="Times New Roman" w:cstheme="minorHAnsi"/>
          <w:szCs w:val="20"/>
        </w:rPr>
      </w:pPr>
      <w:r w:rsidRPr="00560E53">
        <w:rPr>
          <w:rFonts w:eastAsia="Times New Roman" w:cstheme="minorHAnsi"/>
          <w:szCs w:val="20"/>
        </w:rPr>
        <w:t>Unitrans is not aware of any other current disparity studies within their jurisdiction and/or market area</w:t>
      </w:r>
      <w:r w:rsidRPr="009A015A">
        <w:rPr>
          <w:rFonts w:eastAsia="Times New Roman" w:cstheme="minorHAnsi"/>
          <w:szCs w:val="20"/>
        </w:rPr>
        <w:t xml:space="preserve"> that are demonstrably similar in size and nature to consider in this step of the goal setting analysis. Unitrans uses a strictly race-neutral DBE program but will continue to seek out disparity studies of a similar size and nature to consider for subsequent triennial goals.</w:t>
      </w:r>
    </w:p>
    <w:p w14:paraId="0E274F8B" w14:textId="77777777" w:rsidR="00D50C12" w:rsidRPr="005168F5" w:rsidRDefault="00D50C12" w:rsidP="00D50C12">
      <w:pPr>
        <w:pStyle w:val="Heading3"/>
        <w:ind w:left="1080"/>
        <w:rPr>
          <w:sz w:val="22"/>
          <w:szCs w:val="22"/>
        </w:rPr>
      </w:pPr>
      <w:r w:rsidRPr="005168F5">
        <w:rPr>
          <w:sz w:val="22"/>
          <w:szCs w:val="22"/>
        </w:rPr>
        <w:t>Other Available Evidence</w:t>
      </w:r>
      <w:bookmarkEnd w:id="22"/>
      <w:bookmarkEnd w:id="23"/>
      <w:bookmarkEnd w:id="24"/>
      <w:bookmarkEnd w:id="25"/>
      <w:bookmarkEnd w:id="26"/>
      <w:r w:rsidRPr="005168F5">
        <w:rPr>
          <w:sz w:val="22"/>
          <w:szCs w:val="22"/>
        </w:rPr>
        <w:t xml:space="preserve"> </w:t>
      </w:r>
    </w:p>
    <w:p w14:paraId="152342B1" w14:textId="094E2351" w:rsidR="00D50C12" w:rsidRPr="005168F5" w:rsidRDefault="009A015A" w:rsidP="00D50C12">
      <w:pPr>
        <w:autoSpaceDE w:val="0"/>
        <w:autoSpaceDN w:val="0"/>
        <w:adjustRightInd w:val="0"/>
        <w:ind w:left="720"/>
        <w:jc w:val="both"/>
        <w:rPr>
          <w:rFonts w:eastAsia="Times New Roman" w:cstheme="minorHAnsi"/>
        </w:rPr>
      </w:pPr>
      <w:r>
        <w:rPr>
          <w:rFonts w:eastAsia="Times New Roman" w:cstheme="minorHAnsi"/>
        </w:rPr>
        <w:t>Unitrans</w:t>
      </w:r>
      <w:r w:rsidR="00D50C12" w:rsidRPr="005168F5">
        <w:rPr>
          <w:rFonts w:eastAsia="Times New Roman" w:cstheme="minorHAnsi"/>
        </w:rPr>
        <w:t xml:space="preserve"> is not in possession of other information that would have an impact on the DBE goal assessment and has not made an adjustment to the base figure due to the result of other </w:t>
      </w:r>
      <w:r>
        <w:rPr>
          <w:rFonts w:eastAsia="Times New Roman" w:cstheme="minorHAnsi"/>
        </w:rPr>
        <w:t>agency</w:t>
      </w:r>
      <w:r w:rsidR="00D50C12" w:rsidRPr="005168F5">
        <w:rPr>
          <w:rFonts w:eastAsia="Times New Roman" w:cstheme="minorHAnsi"/>
        </w:rPr>
        <w:t xml:space="preserve"> goals.</w:t>
      </w:r>
    </w:p>
    <w:p w14:paraId="616F9AA0" w14:textId="77777777" w:rsidR="00D50C12" w:rsidRPr="00D42E08" w:rsidRDefault="00D50C12" w:rsidP="000C1E75">
      <w:pPr>
        <w:autoSpaceDE w:val="0"/>
        <w:autoSpaceDN w:val="0"/>
        <w:adjustRightInd w:val="0"/>
        <w:spacing w:after="240"/>
        <w:jc w:val="both"/>
        <w:rPr>
          <w:rFonts w:eastAsia="Times New Roman" w:cstheme="minorHAnsi"/>
        </w:rPr>
      </w:pPr>
    </w:p>
    <w:p w14:paraId="467F1AC3" w14:textId="71173F5C" w:rsidR="009F182E" w:rsidRPr="009A015A" w:rsidRDefault="009F182E" w:rsidP="006E4C0A">
      <w:pPr>
        <w:pStyle w:val="Heading1"/>
        <w:rPr>
          <w:rFonts w:eastAsia="Times New Roman"/>
        </w:rPr>
      </w:pPr>
      <w:r w:rsidRPr="009A015A">
        <w:rPr>
          <w:rFonts w:eastAsia="Times New Roman"/>
        </w:rPr>
        <w:t>PROPOSED OVERALL DBE GOAL</w:t>
      </w:r>
    </w:p>
    <w:p w14:paraId="24981E21" w14:textId="4581FD49" w:rsidR="009F182E" w:rsidRPr="0042107E" w:rsidRDefault="009F182E" w:rsidP="00344CE8">
      <w:pPr>
        <w:autoSpaceDE w:val="0"/>
        <w:autoSpaceDN w:val="0"/>
        <w:adjustRightInd w:val="0"/>
        <w:spacing w:before="40" w:after="240"/>
        <w:jc w:val="both"/>
        <w:rPr>
          <w:rFonts w:eastAsia="Times New Roman" w:cstheme="minorHAnsi"/>
        </w:rPr>
      </w:pPr>
      <w:r w:rsidRPr="0042107E">
        <w:rPr>
          <w:rFonts w:eastAsia="Times New Roman" w:cstheme="minorHAnsi"/>
        </w:rPr>
        <w:t xml:space="preserve">Since the Ninth Circuit Court of Appeals decision regarding Western States Paving v. Washington State Department of Transportation, </w:t>
      </w:r>
      <w:r w:rsidR="00B60A2D" w:rsidRPr="0042107E">
        <w:rPr>
          <w:rFonts w:eastAsia="Times New Roman" w:cstheme="minorHAnsi"/>
        </w:rPr>
        <w:t>Unitrans</w:t>
      </w:r>
      <w:r w:rsidRPr="0042107E">
        <w:rPr>
          <w:rFonts w:eastAsia="Times New Roman" w:cstheme="minorHAnsi"/>
        </w:rPr>
        <w:t xml:space="preserve"> has set race neutral goals. </w:t>
      </w:r>
      <w:r w:rsidR="00B60A2D" w:rsidRPr="0042107E">
        <w:rPr>
          <w:rFonts w:eastAsia="Times New Roman" w:cstheme="minorHAnsi"/>
        </w:rPr>
        <w:t>Unitrans</w:t>
      </w:r>
      <w:r w:rsidRPr="0042107E">
        <w:rPr>
          <w:rFonts w:eastAsia="Times New Roman" w:cstheme="minorHAnsi"/>
        </w:rPr>
        <w:t xml:space="preserve"> will periodically re-evaluate its DBE Program to determine whether contract goals are necessary to achieve the overall goal. If after re-evaluation </w:t>
      </w:r>
      <w:r w:rsidR="00B60A2D" w:rsidRPr="0042107E">
        <w:rPr>
          <w:rFonts w:eastAsia="Times New Roman" w:cstheme="minorHAnsi"/>
        </w:rPr>
        <w:t>Unitrans</w:t>
      </w:r>
      <w:r w:rsidRPr="0042107E">
        <w:rPr>
          <w:rFonts w:eastAsia="Times New Roman" w:cstheme="minorHAnsi"/>
        </w:rPr>
        <w:t xml:space="preserve"> believes a race-conscious program is necessary, as required by Western States, </w:t>
      </w:r>
      <w:r w:rsidR="00B60A2D" w:rsidRPr="0042107E">
        <w:rPr>
          <w:rFonts w:eastAsia="Times New Roman" w:cstheme="minorHAnsi"/>
        </w:rPr>
        <w:t>Unitrans</w:t>
      </w:r>
      <w:r w:rsidRPr="0042107E">
        <w:rPr>
          <w:rFonts w:eastAsia="Times New Roman" w:cstheme="minorHAnsi"/>
        </w:rPr>
        <w:t xml:space="preserve"> will gather evidence to determine if discrimination in the transportation contracting industry is present. </w:t>
      </w:r>
      <w:r w:rsidR="00B60A2D" w:rsidRPr="0042107E">
        <w:rPr>
          <w:rFonts w:eastAsia="Times New Roman" w:cstheme="minorHAnsi"/>
        </w:rPr>
        <w:t>Unitrans</w:t>
      </w:r>
      <w:r w:rsidRPr="0042107E">
        <w:rPr>
          <w:rFonts w:eastAsia="Times New Roman" w:cstheme="minorHAnsi"/>
        </w:rPr>
        <w:t xml:space="preserve"> will make a determination at that time what type of evidence gathering is appropriate, based on DOT regulations and case law.  </w:t>
      </w:r>
    </w:p>
    <w:p w14:paraId="37A26AC0" w14:textId="7E7F5FF9" w:rsidR="0042107E" w:rsidRPr="003020DE" w:rsidRDefault="009F182E" w:rsidP="009F182E">
      <w:pPr>
        <w:autoSpaceDE w:val="0"/>
        <w:autoSpaceDN w:val="0"/>
        <w:adjustRightInd w:val="0"/>
        <w:spacing w:after="240"/>
        <w:jc w:val="both"/>
        <w:rPr>
          <w:rFonts w:eastAsia="Times New Roman" w:cstheme="minorHAnsi"/>
          <w:b/>
          <w:bCs/>
        </w:rPr>
      </w:pPr>
      <w:r w:rsidRPr="0042107E">
        <w:rPr>
          <w:rFonts w:eastAsia="Times New Roman" w:cstheme="minorHAnsi"/>
          <w:b/>
          <w:bCs/>
        </w:rPr>
        <w:t>The Proposed Overall DBE Goal for FFY 202</w:t>
      </w:r>
      <w:r w:rsidR="0042107E" w:rsidRPr="0042107E">
        <w:rPr>
          <w:rFonts w:eastAsia="Times New Roman" w:cstheme="minorHAnsi"/>
          <w:b/>
          <w:bCs/>
        </w:rPr>
        <w:t>4</w:t>
      </w:r>
      <w:r w:rsidRPr="0042107E">
        <w:rPr>
          <w:rFonts w:eastAsia="Times New Roman" w:cstheme="minorHAnsi"/>
          <w:b/>
          <w:bCs/>
        </w:rPr>
        <w:t>-202</w:t>
      </w:r>
      <w:r w:rsidR="0042107E" w:rsidRPr="0042107E">
        <w:rPr>
          <w:rFonts w:eastAsia="Times New Roman" w:cstheme="minorHAnsi"/>
          <w:b/>
          <w:bCs/>
        </w:rPr>
        <w:t>6</w:t>
      </w:r>
      <w:r w:rsidRPr="0042107E">
        <w:rPr>
          <w:rFonts w:eastAsia="Times New Roman" w:cstheme="minorHAnsi"/>
          <w:b/>
          <w:bCs/>
        </w:rPr>
        <w:t xml:space="preserve"> for </w:t>
      </w:r>
      <w:r w:rsidR="00B60A2D" w:rsidRPr="003020DE">
        <w:rPr>
          <w:rFonts w:eastAsia="Times New Roman" w:cstheme="minorHAnsi"/>
          <w:b/>
          <w:bCs/>
        </w:rPr>
        <w:t>Unitrans</w:t>
      </w:r>
      <w:r w:rsidRPr="003020DE">
        <w:rPr>
          <w:rFonts w:eastAsia="Times New Roman" w:cstheme="minorHAnsi"/>
          <w:b/>
          <w:bCs/>
        </w:rPr>
        <w:t xml:space="preserve">’ FTA-assisted contracts is </w:t>
      </w:r>
      <w:r w:rsidR="008C03E0" w:rsidRPr="003020DE">
        <w:rPr>
          <w:rFonts w:eastAsia="Times New Roman" w:cstheme="minorHAnsi"/>
          <w:b/>
          <w:bCs/>
        </w:rPr>
        <w:t>2.</w:t>
      </w:r>
      <w:r w:rsidR="005712DD">
        <w:rPr>
          <w:rFonts w:eastAsia="Times New Roman" w:cstheme="minorHAnsi"/>
          <w:b/>
          <w:bCs/>
        </w:rPr>
        <w:t>5</w:t>
      </w:r>
      <w:r w:rsidRPr="003020DE">
        <w:rPr>
          <w:rFonts w:eastAsia="Times New Roman" w:cstheme="minorHAnsi"/>
          <w:b/>
          <w:bCs/>
        </w:rPr>
        <w:t xml:space="preserve">%. </w:t>
      </w:r>
    </w:p>
    <w:p w14:paraId="1F647843" w14:textId="302FAF0B" w:rsidR="00666901" w:rsidRDefault="00666901" w:rsidP="00666901">
      <w:pPr>
        <w:autoSpaceDE w:val="0"/>
        <w:autoSpaceDN w:val="0"/>
        <w:adjustRightInd w:val="0"/>
        <w:spacing w:after="240"/>
        <w:jc w:val="both"/>
        <w:rPr>
          <w:rFonts w:eastAsia="Times New Roman" w:cstheme="minorHAnsi"/>
        </w:rPr>
      </w:pPr>
      <w:r w:rsidRPr="003020DE">
        <w:rPr>
          <w:rFonts w:eastAsia="Times New Roman" w:cstheme="minorHAnsi"/>
        </w:rPr>
        <w:t>Unitrans will continue to have a race-neutral DBE Program for FFY 2024-2026</w:t>
      </w:r>
      <w:r w:rsidR="003020DE" w:rsidRPr="003020DE">
        <w:rPr>
          <w:rFonts w:eastAsia="Times New Roman" w:cstheme="minorHAnsi"/>
        </w:rPr>
        <w:t xml:space="preserve"> </w:t>
      </w:r>
      <w:r w:rsidRPr="003020DE">
        <w:rPr>
          <w:rFonts w:eastAsia="Times New Roman" w:cstheme="minorHAnsi"/>
        </w:rPr>
        <w:t xml:space="preserve">and will continue to use the existing race-neutral measures as listed below and will consider new measures in order to achieve greater participation over the triennial period. Unitrans will carefully monitor participation during the course of the goal period. At the conclusion of each year during the goal period, </w:t>
      </w:r>
      <w:r w:rsidR="00A456A5" w:rsidRPr="003020DE">
        <w:rPr>
          <w:rFonts w:eastAsia="Times New Roman" w:cstheme="minorHAnsi"/>
        </w:rPr>
        <w:t>Unitrans</w:t>
      </w:r>
      <w:r w:rsidRPr="003020DE">
        <w:rPr>
          <w:rFonts w:eastAsia="Times New Roman" w:cstheme="minorHAnsi"/>
        </w:rPr>
        <w:t xml:space="preserve"> will re-evaluate the effectiveness of the race-neutral methods and determine if it is necessary to institute a race-conscious portion and contract specific goals. If, in the future, as a result of this re-evaluation, </w:t>
      </w:r>
      <w:r w:rsidR="00A456A5" w:rsidRPr="003020DE">
        <w:rPr>
          <w:rFonts w:eastAsia="Times New Roman" w:cstheme="minorHAnsi"/>
        </w:rPr>
        <w:t>Unitrans</w:t>
      </w:r>
      <w:r w:rsidRPr="003020DE">
        <w:rPr>
          <w:rFonts w:eastAsia="Times New Roman" w:cstheme="minorHAnsi"/>
        </w:rPr>
        <w:t xml:space="preserve"> decides to implement race-conscious means, </w:t>
      </w:r>
      <w:r w:rsidR="00A456A5" w:rsidRPr="003020DE">
        <w:rPr>
          <w:rFonts w:eastAsia="Times New Roman" w:cstheme="minorHAnsi"/>
        </w:rPr>
        <w:t>Unitrans</w:t>
      </w:r>
      <w:r w:rsidRPr="003020DE">
        <w:rPr>
          <w:rFonts w:eastAsia="Times New Roman" w:cstheme="minorHAnsi"/>
        </w:rPr>
        <w:t xml:space="preserve"> will submit a revised DBE Goal Methodology for the F</w:t>
      </w:r>
      <w:r w:rsidR="00A456A5" w:rsidRPr="003020DE">
        <w:rPr>
          <w:rFonts w:eastAsia="Times New Roman" w:cstheme="minorHAnsi"/>
        </w:rPr>
        <w:t>T</w:t>
      </w:r>
      <w:r w:rsidRPr="003020DE">
        <w:rPr>
          <w:rFonts w:eastAsia="Times New Roman" w:cstheme="minorHAnsi"/>
        </w:rPr>
        <w:t xml:space="preserve">A’s review and approval. </w:t>
      </w:r>
      <w:r w:rsidR="00A456A5" w:rsidRPr="003020DE">
        <w:rPr>
          <w:rFonts w:eastAsia="Times New Roman" w:cstheme="minorHAnsi"/>
        </w:rPr>
        <w:t>Unitrans</w:t>
      </w:r>
      <w:r w:rsidRPr="003020DE">
        <w:rPr>
          <w:rFonts w:eastAsia="Times New Roman" w:cstheme="minorHAnsi"/>
        </w:rPr>
        <w:t xml:space="preserve"> will use solely race-neutral methods, as shown below, to meet the overall DBE goal of </w:t>
      </w:r>
      <w:r w:rsidR="003020DE" w:rsidRPr="003020DE">
        <w:rPr>
          <w:rFonts w:eastAsia="Times New Roman" w:cstheme="minorHAnsi"/>
        </w:rPr>
        <w:t>2.</w:t>
      </w:r>
      <w:r w:rsidR="005712DD">
        <w:rPr>
          <w:rFonts w:eastAsia="Times New Roman" w:cstheme="minorHAnsi"/>
        </w:rPr>
        <w:t>5</w:t>
      </w:r>
      <w:r w:rsidRPr="003020DE">
        <w:rPr>
          <w:rFonts w:eastAsia="Times New Roman" w:cstheme="minorHAnsi"/>
        </w:rPr>
        <w:t>% for FFY 202</w:t>
      </w:r>
      <w:r w:rsidR="00A456A5" w:rsidRPr="003020DE">
        <w:rPr>
          <w:rFonts w:eastAsia="Times New Roman" w:cstheme="minorHAnsi"/>
        </w:rPr>
        <w:t>4</w:t>
      </w:r>
      <w:r w:rsidRPr="003020DE">
        <w:rPr>
          <w:rFonts w:eastAsia="Times New Roman" w:cstheme="minorHAnsi"/>
        </w:rPr>
        <w:t>-202</w:t>
      </w:r>
      <w:r w:rsidR="00A456A5" w:rsidRPr="003020DE">
        <w:rPr>
          <w:rFonts w:eastAsia="Times New Roman" w:cstheme="minorHAnsi"/>
        </w:rPr>
        <w:t>6</w:t>
      </w:r>
      <w:r w:rsidRPr="003020DE">
        <w:rPr>
          <w:rFonts w:eastAsia="Times New Roman" w:cstheme="minorHAnsi"/>
        </w:rPr>
        <w:t xml:space="preserve"> in accordance with Title 49 CFR Part 26.51.</w:t>
      </w:r>
      <w:r w:rsidRPr="00EF4208">
        <w:rPr>
          <w:rFonts w:eastAsia="Times New Roman" w:cstheme="minorHAnsi"/>
        </w:rPr>
        <w:t xml:space="preserve"> </w:t>
      </w:r>
    </w:p>
    <w:p w14:paraId="29A0C9A5" w14:textId="491BAF5E" w:rsidR="000A057B" w:rsidRDefault="000A057B" w:rsidP="000A057B">
      <w:pPr>
        <w:autoSpaceDE w:val="0"/>
        <w:autoSpaceDN w:val="0"/>
        <w:adjustRightInd w:val="0"/>
        <w:spacing w:after="0"/>
        <w:jc w:val="center"/>
        <w:rPr>
          <w:rFonts w:eastAsia="Times New Roman" w:cstheme="minorHAnsi"/>
        </w:rPr>
      </w:pPr>
      <w:r w:rsidRPr="002D7E77">
        <w:rPr>
          <w:rFonts w:eastAsia="Times New Roman" w:cstheme="minorHAnsi"/>
          <w:b/>
          <w:sz w:val="24"/>
        </w:rPr>
        <w:t xml:space="preserve">TABLE </w:t>
      </w:r>
      <w:r>
        <w:rPr>
          <w:rFonts w:eastAsia="Times New Roman" w:cstheme="minorHAnsi"/>
          <w:b/>
          <w:sz w:val="24"/>
        </w:rPr>
        <w:t>8</w:t>
      </w:r>
      <w:r w:rsidRPr="002D7E77">
        <w:rPr>
          <w:rFonts w:eastAsia="Times New Roman" w:cstheme="minorHAnsi"/>
          <w:b/>
          <w:sz w:val="24"/>
        </w:rPr>
        <w:t xml:space="preserve">: </w:t>
      </w:r>
      <w:r w:rsidR="002F7FA3">
        <w:rPr>
          <w:rFonts w:eastAsia="Times New Roman" w:cstheme="minorHAnsi"/>
          <w:b/>
          <w:sz w:val="24"/>
        </w:rPr>
        <w:t xml:space="preserve">Race-Conscious &amp; Race-Neutral </w:t>
      </w:r>
      <w:r>
        <w:rPr>
          <w:rFonts w:eastAsia="Times New Roman" w:cstheme="minorHAnsi"/>
          <w:b/>
          <w:sz w:val="24"/>
        </w:rPr>
        <w:t>Projections</w:t>
      </w:r>
    </w:p>
    <w:tbl>
      <w:tblPr>
        <w:tblW w:w="5580" w:type="dxa"/>
        <w:tblInd w:w="2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520"/>
      </w:tblGrid>
      <w:tr w:rsidR="00666901" w:rsidRPr="00694F90" w14:paraId="22DD3503" w14:textId="77777777" w:rsidTr="002F7FA3">
        <w:trPr>
          <w:trHeight w:val="60"/>
        </w:trPr>
        <w:tc>
          <w:tcPr>
            <w:tcW w:w="3060" w:type="dxa"/>
            <w:shd w:val="clear" w:color="auto" w:fill="D9D9D9" w:themeFill="background1" w:themeFillShade="D9"/>
            <w:vAlign w:val="center"/>
            <w:hideMark/>
          </w:tcPr>
          <w:p w14:paraId="486DDB82" w14:textId="77777777" w:rsidR="00666901" w:rsidRPr="00EF4208" w:rsidRDefault="00666901" w:rsidP="00287D37">
            <w:pPr>
              <w:spacing w:before="60" w:after="60"/>
              <w:jc w:val="center"/>
              <w:rPr>
                <w:rFonts w:ascii="Calibri" w:eastAsia="Times New Roman" w:hAnsi="Calibri" w:cs="Calibri"/>
                <w:sz w:val="24"/>
                <w:szCs w:val="24"/>
              </w:rPr>
            </w:pPr>
            <w:r w:rsidRPr="00EF4208">
              <w:rPr>
                <w:rFonts w:ascii="Calibri" w:eastAsia="Times New Roman" w:hAnsi="Calibri" w:cs="Calibri"/>
                <w:sz w:val="24"/>
                <w:szCs w:val="24"/>
              </w:rPr>
              <w:t>DBE Adjusted Base Figure</w:t>
            </w:r>
          </w:p>
        </w:tc>
        <w:tc>
          <w:tcPr>
            <w:tcW w:w="2520" w:type="dxa"/>
            <w:shd w:val="clear" w:color="auto" w:fill="D9D9D9" w:themeFill="background1" w:themeFillShade="D9"/>
            <w:vAlign w:val="center"/>
            <w:hideMark/>
          </w:tcPr>
          <w:p w14:paraId="398AF4C6" w14:textId="2DD5111C" w:rsidR="00666901" w:rsidRPr="003020DE" w:rsidRDefault="003020DE" w:rsidP="00287D37">
            <w:pPr>
              <w:spacing w:after="0"/>
              <w:jc w:val="center"/>
              <w:rPr>
                <w:rFonts w:ascii="Calibri" w:eastAsia="Times New Roman" w:hAnsi="Calibri" w:cs="Calibri"/>
                <w:b/>
                <w:bCs/>
                <w:sz w:val="24"/>
                <w:szCs w:val="24"/>
              </w:rPr>
            </w:pPr>
            <w:r w:rsidRPr="003020DE">
              <w:rPr>
                <w:rFonts w:ascii="Calibri" w:hAnsi="Calibri" w:cs="Calibri"/>
                <w:b/>
                <w:bCs/>
                <w:sz w:val="24"/>
                <w:szCs w:val="24"/>
              </w:rPr>
              <w:t>2.</w:t>
            </w:r>
            <w:r w:rsidR="005712DD">
              <w:rPr>
                <w:rFonts w:ascii="Calibri" w:hAnsi="Calibri" w:cs="Calibri"/>
                <w:b/>
                <w:bCs/>
                <w:sz w:val="24"/>
                <w:szCs w:val="24"/>
              </w:rPr>
              <w:t>5</w:t>
            </w:r>
            <w:r w:rsidR="00666901" w:rsidRPr="003020DE">
              <w:rPr>
                <w:rFonts w:ascii="Calibri" w:hAnsi="Calibri" w:cs="Calibri"/>
                <w:b/>
                <w:bCs/>
                <w:sz w:val="24"/>
                <w:szCs w:val="24"/>
              </w:rPr>
              <w:t>%</w:t>
            </w:r>
          </w:p>
        </w:tc>
      </w:tr>
      <w:tr w:rsidR="00666901" w:rsidRPr="0066614E" w14:paraId="6536F2DC" w14:textId="77777777" w:rsidTr="002F7FA3">
        <w:trPr>
          <w:trHeight w:val="60"/>
        </w:trPr>
        <w:tc>
          <w:tcPr>
            <w:tcW w:w="3060" w:type="dxa"/>
            <w:shd w:val="clear" w:color="auto" w:fill="auto"/>
            <w:vAlign w:val="center"/>
            <w:hideMark/>
          </w:tcPr>
          <w:p w14:paraId="1B4768D8" w14:textId="77777777" w:rsidR="00666901" w:rsidRPr="0066614E" w:rsidRDefault="00666901" w:rsidP="00287D37">
            <w:pPr>
              <w:spacing w:before="60" w:after="60"/>
              <w:jc w:val="center"/>
              <w:rPr>
                <w:rFonts w:ascii="Calibri" w:eastAsia="Times New Roman" w:hAnsi="Calibri" w:cs="Calibri"/>
                <w:sz w:val="24"/>
                <w:szCs w:val="24"/>
              </w:rPr>
            </w:pPr>
            <w:r w:rsidRPr="0066614E">
              <w:rPr>
                <w:rFonts w:ascii="Calibri" w:eastAsia="Times New Roman" w:hAnsi="Calibri" w:cs="Calibri"/>
                <w:sz w:val="24"/>
                <w:szCs w:val="24"/>
              </w:rPr>
              <w:t>Race-Conscious Component</w:t>
            </w:r>
          </w:p>
        </w:tc>
        <w:tc>
          <w:tcPr>
            <w:tcW w:w="2520" w:type="dxa"/>
            <w:shd w:val="clear" w:color="auto" w:fill="auto"/>
            <w:vAlign w:val="center"/>
            <w:hideMark/>
          </w:tcPr>
          <w:p w14:paraId="1D8DD527" w14:textId="77777777" w:rsidR="00666901" w:rsidRPr="003020DE" w:rsidRDefault="00666901" w:rsidP="00287D37">
            <w:pPr>
              <w:spacing w:after="0"/>
              <w:jc w:val="center"/>
              <w:rPr>
                <w:rFonts w:ascii="Calibri" w:eastAsia="Times New Roman" w:hAnsi="Calibri" w:cs="Calibri"/>
                <w:b/>
                <w:bCs/>
                <w:sz w:val="24"/>
                <w:szCs w:val="24"/>
              </w:rPr>
            </w:pPr>
            <w:r w:rsidRPr="003020DE">
              <w:rPr>
                <w:rFonts w:ascii="Calibri" w:hAnsi="Calibri" w:cs="Calibri"/>
                <w:b/>
                <w:bCs/>
                <w:sz w:val="24"/>
                <w:szCs w:val="24"/>
              </w:rPr>
              <w:t>0.0%</w:t>
            </w:r>
          </w:p>
        </w:tc>
      </w:tr>
      <w:tr w:rsidR="00666901" w:rsidRPr="0066614E" w14:paraId="12DDC3A8" w14:textId="77777777" w:rsidTr="002F7FA3">
        <w:trPr>
          <w:trHeight w:val="60"/>
        </w:trPr>
        <w:tc>
          <w:tcPr>
            <w:tcW w:w="3060" w:type="dxa"/>
            <w:shd w:val="clear" w:color="auto" w:fill="auto"/>
            <w:vAlign w:val="center"/>
            <w:hideMark/>
          </w:tcPr>
          <w:p w14:paraId="080FDCE2" w14:textId="77777777" w:rsidR="00666901" w:rsidRPr="0066614E" w:rsidRDefault="00666901" w:rsidP="00287D37">
            <w:pPr>
              <w:spacing w:before="60" w:after="60"/>
              <w:jc w:val="center"/>
              <w:rPr>
                <w:rFonts w:ascii="Calibri" w:eastAsia="Times New Roman" w:hAnsi="Calibri" w:cs="Calibri"/>
                <w:sz w:val="24"/>
                <w:szCs w:val="24"/>
              </w:rPr>
            </w:pPr>
            <w:r w:rsidRPr="0066614E">
              <w:rPr>
                <w:rFonts w:ascii="Calibri" w:eastAsia="Times New Roman" w:hAnsi="Calibri" w:cs="Calibri"/>
                <w:sz w:val="24"/>
                <w:szCs w:val="24"/>
              </w:rPr>
              <w:t>Race-Neutral Component</w:t>
            </w:r>
          </w:p>
        </w:tc>
        <w:tc>
          <w:tcPr>
            <w:tcW w:w="2520" w:type="dxa"/>
            <w:shd w:val="clear" w:color="auto" w:fill="auto"/>
            <w:vAlign w:val="center"/>
            <w:hideMark/>
          </w:tcPr>
          <w:p w14:paraId="63998059" w14:textId="6EC751D0" w:rsidR="00666901" w:rsidRPr="003020DE" w:rsidRDefault="003020DE" w:rsidP="00287D37">
            <w:pPr>
              <w:spacing w:after="0"/>
              <w:jc w:val="center"/>
              <w:rPr>
                <w:rFonts w:ascii="Calibri" w:eastAsia="Times New Roman" w:hAnsi="Calibri" w:cs="Calibri"/>
                <w:b/>
                <w:bCs/>
                <w:sz w:val="24"/>
                <w:szCs w:val="24"/>
              </w:rPr>
            </w:pPr>
            <w:r w:rsidRPr="003020DE">
              <w:rPr>
                <w:rFonts w:ascii="Calibri" w:hAnsi="Calibri" w:cs="Calibri"/>
                <w:b/>
                <w:bCs/>
                <w:sz w:val="24"/>
                <w:szCs w:val="24"/>
              </w:rPr>
              <w:t>2.</w:t>
            </w:r>
            <w:r w:rsidR="005712DD">
              <w:rPr>
                <w:rFonts w:ascii="Calibri" w:hAnsi="Calibri" w:cs="Calibri"/>
                <w:b/>
                <w:bCs/>
                <w:sz w:val="24"/>
                <w:szCs w:val="24"/>
              </w:rPr>
              <w:t>5</w:t>
            </w:r>
            <w:r w:rsidR="00666901" w:rsidRPr="003020DE">
              <w:rPr>
                <w:rFonts w:ascii="Calibri" w:hAnsi="Calibri" w:cs="Calibri"/>
                <w:b/>
                <w:bCs/>
                <w:sz w:val="24"/>
                <w:szCs w:val="24"/>
              </w:rPr>
              <w:t>%</w:t>
            </w:r>
          </w:p>
        </w:tc>
      </w:tr>
    </w:tbl>
    <w:p w14:paraId="3CC73636" w14:textId="77777777" w:rsidR="00666901" w:rsidRDefault="00666901" w:rsidP="009F182E">
      <w:pPr>
        <w:autoSpaceDE w:val="0"/>
        <w:autoSpaceDN w:val="0"/>
        <w:adjustRightInd w:val="0"/>
        <w:spacing w:after="240"/>
        <w:jc w:val="both"/>
        <w:rPr>
          <w:rFonts w:eastAsia="Times New Roman" w:cstheme="minorHAnsi"/>
          <w:highlight w:val="yellow"/>
        </w:rPr>
      </w:pPr>
    </w:p>
    <w:p w14:paraId="18A4CEB9" w14:textId="23F2661C" w:rsidR="009F182E" w:rsidRPr="00ED6F14" w:rsidRDefault="009F182E" w:rsidP="006E4C0A">
      <w:pPr>
        <w:pStyle w:val="Heading1"/>
        <w:rPr>
          <w:rFonts w:eastAsia="Times New Roman"/>
        </w:rPr>
      </w:pPr>
      <w:r w:rsidRPr="00ED6F14">
        <w:rPr>
          <w:rFonts w:eastAsia="Times New Roman"/>
        </w:rPr>
        <w:t>RACE-NEUTRAL IMPLEMENTATION MEASURES</w:t>
      </w:r>
    </w:p>
    <w:p w14:paraId="1B37AE17" w14:textId="590679AC" w:rsidR="009F182E" w:rsidRPr="00FE7E83" w:rsidRDefault="009F182E" w:rsidP="00F65E50">
      <w:pPr>
        <w:autoSpaceDE w:val="0"/>
        <w:autoSpaceDN w:val="0"/>
        <w:adjustRightInd w:val="0"/>
        <w:spacing w:before="40" w:after="240"/>
        <w:jc w:val="both"/>
        <w:rPr>
          <w:rFonts w:eastAsia="Times New Roman" w:cstheme="minorHAnsi"/>
        </w:rPr>
      </w:pPr>
      <w:r w:rsidRPr="00FE7E83">
        <w:rPr>
          <w:rFonts w:eastAsia="Times New Roman" w:cstheme="minorHAnsi"/>
        </w:rPr>
        <w:t xml:space="preserve">The </w:t>
      </w:r>
      <w:r w:rsidR="00F65E50" w:rsidRPr="00FE7E83">
        <w:rPr>
          <w:rFonts w:eastAsia="Times New Roman" w:cstheme="minorHAnsi"/>
        </w:rPr>
        <w:t>US</w:t>
      </w:r>
      <w:r w:rsidRPr="00FE7E83">
        <w:rPr>
          <w:rFonts w:eastAsia="Times New Roman" w:cstheme="minorHAnsi"/>
        </w:rPr>
        <w:t xml:space="preserve">DOT regulations require that race-neutral methods be used to the maximum extent feasible to reach the DBE overall goal. </w:t>
      </w:r>
      <w:r w:rsidR="00B60A2D" w:rsidRPr="00FE7E83">
        <w:rPr>
          <w:rFonts w:eastAsia="Times New Roman" w:cstheme="minorHAnsi"/>
        </w:rPr>
        <w:t>Unitrans</w:t>
      </w:r>
      <w:r w:rsidRPr="00FE7E83">
        <w:rPr>
          <w:rFonts w:eastAsia="Times New Roman" w:cstheme="minorHAnsi"/>
        </w:rPr>
        <w:t xml:space="preserve"> is currently implementing several race- and gender-neutral remedies to </w:t>
      </w:r>
      <w:r w:rsidR="00540444" w:rsidRPr="00FE7E83">
        <w:rPr>
          <w:rFonts w:eastAsia="Times New Roman" w:cstheme="minorHAnsi"/>
        </w:rPr>
        <w:t>reach out</w:t>
      </w:r>
      <w:r w:rsidRPr="00FE7E83">
        <w:rPr>
          <w:rFonts w:eastAsia="Times New Roman" w:cstheme="minorHAnsi"/>
        </w:rPr>
        <w:t xml:space="preserve"> and promote the participation of DBEs and small businesses in </w:t>
      </w:r>
      <w:r w:rsidR="00B60A2D" w:rsidRPr="00FE7E83">
        <w:rPr>
          <w:rFonts w:eastAsia="Times New Roman" w:cstheme="minorHAnsi"/>
        </w:rPr>
        <w:t>Unitrans</w:t>
      </w:r>
      <w:r w:rsidRPr="00FE7E83">
        <w:rPr>
          <w:rFonts w:eastAsia="Times New Roman" w:cstheme="minorHAnsi"/>
        </w:rPr>
        <w:t xml:space="preserve">’s FTA-assisted contracting program. </w:t>
      </w:r>
      <w:r w:rsidR="00A47BE3" w:rsidRPr="00FE7E83">
        <w:rPr>
          <w:rFonts w:eastAsia="Times New Roman" w:cstheme="minorHAnsi"/>
        </w:rPr>
        <w:t xml:space="preserve">In furtherance of its </w:t>
      </w:r>
      <w:r w:rsidR="00A47BE3" w:rsidRPr="00FE7E83">
        <w:rPr>
          <w:rFonts w:eastAsia="Times New Roman" w:cstheme="minorHAnsi"/>
          <w:i/>
          <w:iCs/>
        </w:rPr>
        <w:t>Disadvantaged Business Enterprise Plan</w:t>
      </w:r>
      <w:r w:rsidR="00A47BE3" w:rsidRPr="00FE7E83">
        <w:rPr>
          <w:rFonts w:eastAsia="Times New Roman" w:cstheme="minorHAnsi"/>
        </w:rPr>
        <w:t xml:space="preserve"> (August 2017), </w:t>
      </w:r>
      <w:r w:rsidR="00B60A2D" w:rsidRPr="00FE7E83">
        <w:rPr>
          <w:rFonts w:eastAsia="Times New Roman" w:cstheme="minorHAnsi"/>
        </w:rPr>
        <w:t>Unitrans</w:t>
      </w:r>
      <w:r w:rsidRPr="00FE7E83">
        <w:rPr>
          <w:rFonts w:eastAsia="Times New Roman" w:cstheme="minorHAnsi"/>
        </w:rPr>
        <w:t xml:space="preserve"> </w:t>
      </w:r>
      <w:r w:rsidR="008B208B" w:rsidRPr="00FE7E83">
        <w:rPr>
          <w:rFonts w:eastAsia="Times New Roman" w:cstheme="minorHAnsi"/>
        </w:rPr>
        <w:t>will</w:t>
      </w:r>
      <w:r w:rsidRPr="00FE7E83">
        <w:rPr>
          <w:rFonts w:eastAsia="Times New Roman" w:cstheme="minorHAnsi"/>
        </w:rPr>
        <w:t xml:space="preserve"> continue </w:t>
      </w:r>
      <w:r w:rsidR="008B208B" w:rsidRPr="00FE7E83">
        <w:rPr>
          <w:rFonts w:eastAsia="Times New Roman" w:cstheme="minorHAnsi"/>
        </w:rPr>
        <w:t>to</w:t>
      </w:r>
      <w:r w:rsidRPr="00FE7E83">
        <w:rPr>
          <w:rFonts w:eastAsia="Times New Roman" w:cstheme="minorHAnsi"/>
        </w:rPr>
        <w:t xml:space="preserve"> </w:t>
      </w:r>
      <w:r w:rsidR="00E87D32" w:rsidRPr="00FE7E83">
        <w:rPr>
          <w:rFonts w:eastAsia="Times New Roman" w:cstheme="minorHAnsi"/>
        </w:rPr>
        <w:t>implement various</w:t>
      </w:r>
      <w:r w:rsidRPr="00FE7E83">
        <w:rPr>
          <w:rFonts w:eastAsia="Times New Roman" w:cstheme="minorHAnsi"/>
        </w:rPr>
        <w:t xml:space="preserve"> race-neutral measures for FFY 202</w:t>
      </w:r>
      <w:r w:rsidR="00ED6F14" w:rsidRPr="00FE7E83">
        <w:rPr>
          <w:rFonts w:eastAsia="Times New Roman" w:cstheme="minorHAnsi"/>
        </w:rPr>
        <w:t>4</w:t>
      </w:r>
      <w:r w:rsidRPr="00FE7E83">
        <w:rPr>
          <w:rFonts w:eastAsia="Times New Roman" w:cstheme="minorHAnsi"/>
        </w:rPr>
        <w:t>-202</w:t>
      </w:r>
      <w:r w:rsidR="00ED6F14" w:rsidRPr="00FE7E83">
        <w:rPr>
          <w:rFonts w:eastAsia="Times New Roman" w:cstheme="minorHAnsi"/>
        </w:rPr>
        <w:t>6</w:t>
      </w:r>
      <w:r w:rsidR="00540444" w:rsidRPr="00FE7E83">
        <w:rPr>
          <w:rFonts w:eastAsia="Times New Roman" w:cstheme="minorHAnsi"/>
        </w:rPr>
        <w:t>,</w:t>
      </w:r>
      <w:r w:rsidR="00ED6F14" w:rsidRPr="00FE7E83">
        <w:rPr>
          <w:rFonts w:eastAsia="Times New Roman" w:cstheme="minorHAnsi"/>
        </w:rPr>
        <w:t xml:space="preserve"> </w:t>
      </w:r>
      <w:r w:rsidR="00E000C5" w:rsidRPr="00FE7E83">
        <w:rPr>
          <w:rFonts w:eastAsia="Times New Roman" w:cstheme="minorHAnsi"/>
        </w:rPr>
        <w:t>including but not limited to the following</w:t>
      </w:r>
      <w:r w:rsidRPr="00FE7E83">
        <w:rPr>
          <w:rFonts w:eastAsia="Times New Roman" w:cstheme="minorHAnsi"/>
        </w:rPr>
        <w:t>:</w:t>
      </w:r>
    </w:p>
    <w:p w14:paraId="421E7562" w14:textId="55B48E07" w:rsidR="009F182E" w:rsidRPr="00FE7E83" w:rsidRDefault="009F182E" w:rsidP="009F182E">
      <w:pPr>
        <w:pStyle w:val="ListParagraph"/>
        <w:numPr>
          <w:ilvl w:val="0"/>
          <w:numId w:val="4"/>
        </w:numPr>
        <w:autoSpaceDE w:val="0"/>
        <w:autoSpaceDN w:val="0"/>
        <w:adjustRightInd w:val="0"/>
        <w:spacing w:after="40" w:line="240" w:lineRule="auto"/>
        <w:jc w:val="both"/>
        <w:rPr>
          <w:rFonts w:asciiTheme="minorHAnsi" w:eastAsia="Times New Roman" w:hAnsiTheme="minorHAnsi" w:cstheme="minorHAnsi"/>
          <w:color w:val="auto"/>
          <w:szCs w:val="20"/>
        </w:rPr>
      </w:pPr>
      <w:r w:rsidRPr="00FE7E83">
        <w:rPr>
          <w:rFonts w:asciiTheme="minorHAnsi" w:eastAsia="Times New Roman" w:hAnsiTheme="minorHAnsi" w:cstheme="minorHAnsi"/>
          <w:color w:val="auto"/>
          <w:szCs w:val="20"/>
        </w:rPr>
        <w:t>Arrange solicitations, times for the presentation of bids, quantities, specifications, and delivery schedules in ways that facilitate DBE and other small business participation</w:t>
      </w:r>
      <w:r w:rsidR="00540444" w:rsidRPr="00FE7E83">
        <w:rPr>
          <w:rFonts w:asciiTheme="minorHAnsi" w:eastAsia="Times New Roman" w:hAnsiTheme="minorHAnsi" w:cstheme="minorHAnsi"/>
          <w:color w:val="auto"/>
          <w:szCs w:val="20"/>
        </w:rPr>
        <w:t xml:space="preserve"> to ensure maximum opportunity to submit bids or proposals</w:t>
      </w:r>
      <w:r w:rsidRPr="00FE7E83">
        <w:rPr>
          <w:rFonts w:asciiTheme="minorHAnsi" w:eastAsia="Times New Roman" w:hAnsiTheme="minorHAnsi" w:cstheme="minorHAnsi"/>
          <w:color w:val="auto"/>
          <w:szCs w:val="20"/>
        </w:rPr>
        <w:t xml:space="preserve">. </w:t>
      </w:r>
    </w:p>
    <w:p w14:paraId="2B0ED307" w14:textId="77777777" w:rsidR="00540444" w:rsidRPr="00FE7E83" w:rsidRDefault="009F182E" w:rsidP="009F182E">
      <w:pPr>
        <w:pStyle w:val="ListParagraph"/>
        <w:numPr>
          <w:ilvl w:val="0"/>
          <w:numId w:val="4"/>
        </w:numPr>
        <w:autoSpaceDE w:val="0"/>
        <w:autoSpaceDN w:val="0"/>
        <w:adjustRightInd w:val="0"/>
        <w:spacing w:after="40" w:line="240" w:lineRule="auto"/>
        <w:jc w:val="both"/>
        <w:rPr>
          <w:rFonts w:asciiTheme="minorHAnsi" w:eastAsia="Times New Roman" w:hAnsiTheme="minorHAnsi" w:cstheme="minorHAnsi"/>
          <w:color w:val="auto"/>
          <w:szCs w:val="20"/>
        </w:rPr>
      </w:pPr>
      <w:r w:rsidRPr="00FE7E83">
        <w:rPr>
          <w:rFonts w:asciiTheme="minorHAnsi" w:eastAsia="Times New Roman" w:hAnsiTheme="minorHAnsi" w:cstheme="minorHAnsi"/>
          <w:color w:val="auto"/>
          <w:szCs w:val="20"/>
        </w:rPr>
        <w:t xml:space="preserve">Organize large contracts into smaller contracts when feasible, which would make contracts more accessible to small business, and would not impose significant additional cost, delay or risk to </w:t>
      </w:r>
      <w:r w:rsidR="00B60A2D" w:rsidRPr="00FE7E83">
        <w:rPr>
          <w:rFonts w:asciiTheme="minorHAnsi" w:eastAsia="Times New Roman" w:hAnsiTheme="minorHAnsi" w:cstheme="minorHAnsi"/>
          <w:color w:val="auto"/>
          <w:szCs w:val="20"/>
        </w:rPr>
        <w:t>Unitrans</w:t>
      </w:r>
      <w:r w:rsidRPr="00FE7E83">
        <w:rPr>
          <w:rFonts w:asciiTheme="minorHAnsi" w:eastAsia="Times New Roman" w:hAnsiTheme="minorHAnsi" w:cstheme="minorHAnsi"/>
          <w:color w:val="auto"/>
          <w:szCs w:val="20"/>
        </w:rPr>
        <w:t>.</w:t>
      </w:r>
    </w:p>
    <w:p w14:paraId="2589FFF4" w14:textId="1186FEA1" w:rsidR="009F182E" w:rsidRPr="00FE7E83" w:rsidRDefault="009F182E" w:rsidP="009F182E">
      <w:pPr>
        <w:pStyle w:val="ListParagraph"/>
        <w:numPr>
          <w:ilvl w:val="0"/>
          <w:numId w:val="4"/>
        </w:numPr>
        <w:autoSpaceDE w:val="0"/>
        <w:autoSpaceDN w:val="0"/>
        <w:adjustRightInd w:val="0"/>
        <w:spacing w:after="40" w:line="240" w:lineRule="auto"/>
        <w:jc w:val="both"/>
        <w:rPr>
          <w:rFonts w:asciiTheme="minorHAnsi" w:eastAsia="Times New Roman" w:hAnsiTheme="minorHAnsi" w:cstheme="minorHAnsi"/>
          <w:color w:val="auto"/>
          <w:szCs w:val="20"/>
        </w:rPr>
      </w:pPr>
      <w:r w:rsidRPr="00FE7E83">
        <w:rPr>
          <w:rFonts w:asciiTheme="minorHAnsi" w:eastAsia="Times New Roman" w:hAnsiTheme="minorHAnsi" w:cstheme="minorHAnsi"/>
          <w:color w:val="auto"/>
          <w:szCs w:val="20"/>
        </w:rPr>
        <w:t>Identify components of the work which represent subcontracting opportunities</w:t>
      </w:r>
      <w:r w:rsidR="008B208B" w:rsidRPr="00FE7E83">
        <w:rPr>
          <w:rFonts w:asciiTheme="minorHAnsi" w:eastAsia="Times New Roman" w:hAnsiTheme="minorHAnsi" w:cstheme="minorHAnsi"/>
          <w:color w:val="auto"/>
          <w:szCs w:val="20"/>
        </w:rPr>
        <w:t>.</w:t>
      </w:r>
      <w:r w:rsidRPr="00FE7E83">
        <w:rPr>
          <w:rFonts w:asciiTheme="minorHAnsi" w:eastAsia="Times New Roman" w:hAnsiTheme="minorHAnsi" w:cstheme="minorHAnsi"/>
          <w:color w:val="auto"/>
          <w:szCs w:val="20"/>
        </w:rPr>
        <w:t xml:space="preserve"> </w:t>
      </w:r>
      <w:r w:rsidR="008B208B" w:rsidRPr="00FE7E83">
        <w:rPr>
          <w:rFonts w:asciiTheme="minorHAnsi" w:eastAsia="Times New Roman" w:hAnsiTheme="minorHAnsi" w:cstheme="minorHAnsi"/>
          <w:color w:val="auto"/>
          <w:szCs w:val="20"/>
        </w:rPr>
        <w:t>E</w:t>
      </w:r>
      <w:r w:rsidR="00E000C5" w:rsidRPr="00FE7E83">
        <w:rPr>
          <w:rFonts w:asciiTheme="minorHAnsi" w:eastAsia="Times New Roman" w:hAnsiTheme="minorHAnsi" w:cstheme="minorHAnsi"/>
          <w:color w:val="auto"/>
          <w:szCs w:val="20"/>
        </w:rPr>
        <w:t>ncourage c</w:t>
      </w:r>
      <w:r w:rsidRPr="00FE7E83">
        <w:rPr>
          <w:rFonts w:asciiTheme="minorHAnsi" w:eastAsia="Times New Roman" w:hAnsiTheme="minorHAnsi" w:cstheme="minorHAnsi"/>
          <w:color w:val="auto"/>
          <w:szCs w:val="20"/>
        </w:rPr>
        <w:t>ontractors  to consider subcontractors for components of the work for which there is a known supply of ready, willing, and able subcontractors, including DBE subcontractors, in preparing their bids</w:t>
      </w:r>
      <w:r w:rsidR="00E000C5" w:rsidRPr="00FE7E83">
        <w:rPr>
          <w:rFonts w:asciiTheme="minorHAnsi" w:eastAsia="Times New Roman" w:hAnsiTheme="minorHAnsi" w:cstheme="minorHAnsi"/>
          <w:color w:val="auto"/>
          <w:szCs w:val="20"/>
        </w:rPr>
        <w:t xml:space="preserve">, and assist </w:t>
      </w:r>
      <w:r w:rsidR="008B208B" w:rsidRPr="00FE7E83">
        <w:rPr>
          <w:rFonts w:asciiTheme="minorHAnsi" w:eastAsia="Times New Roman" w:hAnsiTheme="minorHAnsi" w:cstheme="minorHAnsi"/>
          <w:color w:val="auto"/>
          <w:szCs w:val="20"/>
        </w:rPr>
        <w:t>contractors in</w:t>
      </w:r>
      <w:r w:rsidR="00E000C5" w:rsidRPr="00FE7E83">
        <w:rPr>
          <w:rFonts w:asciiTheme="minorHAnsi" w:eastAsia="Times New Roman" w:hAnsiTheme="minorHAnsi" w:cstheme="minorHAnsi"/>
          <w:color w:val="auto"/>
          <w:szCs w:val="20"/>
        </w:rPr>
        <w:t xml:space="preserve"> identifying DBE firms for subcontracting and joint venture opportunities.</w:t>
      </w:r>
    </w:p>
    <w:p w14:paraId="6836E77F" w14:textId="45EFC15F" w:rsidR="00A47BE3" w:rsidRPr="00FE7E83" w:rsidRDefault="00A47BE3" w:rsidP="009F182E">
      <w:pPr>
        <w:pStyle w:val="ListParagraph"/>
        <w:numPr>
          <w:ilvl w:val="0"/>
          <w:numId w:val="4"/>
        </w:numPr>
        <w:autoSpaceDE w:val="0"/>
        <w:autoSpaceDN w:val="0"/>
        <w:adjustRightInd w:val="0"/>
        <w:spacing w:after="40" w:line="240" w:lineRule="auto"/>
        <w:jc w:val="both"/>
        <w:rPr>
          <w:rFonts w:asciiTheme="minorHAnsi" w:eastAsia="Times New Roman" w:hAnsiTheme="minorHAnsi" w:cstheme="minorHAnsi"/>
          <w:color w:val="auto"/>
          <w:szCs w:val="20"/>
        </w:rPr>
      </w:pPr>
      <w:r w:rsidRPr="00FE7E83">
        <w:rPr>
          <w:rFonts w:asciiTheme="minorHAnsi" w:eastAsia="Times New Roman" w:hAnsiTheme="minorHAnsi" w:cstheme="minorHAnsi"/>
          <w:color w:val="auto"/>
          <w:szCs w:val="20"/>
        </w:rPr>
        <w:lastRenderedPageBreak/>
        <w:t>Encourage DBE and small business firms to register as a supplier through the University of California-Davis Supply Chain Management web site (</w:t>
      </w:r>
      <w:hyperlink r:id="rId12" w:history="1">
        <w:r w:rsidRPr="00FE7E83">
          <w:rPr>
            <w:rStyle w:val="Hyperlink"/>
            <w:rFonts w:asciiTheme="minorHAnsi" w:eastAsia="Times New Roman" w:hAnsiTheme="minorHAnsi" w:cstheme="minorHAnsi"/>
            <w:color w:val="auto"/>
            <w:szCs w:val="20"/>
          </w:rPr>
          <w:t>https://supplychain.ucdavis.edu/procure-contract/for-suppliers</w:t>
        </w:r>
      </w:hyperlink>
      <w:r w:rsidRPr="00FE7E83">
        <w:rPr>
          <w:rFonts w:asciiTheme="minorHAnsi" w:eastAsia="Times New Roman" w:hAnsiTheme="minorHAnsi" w:cstheme="minorHAnsi"/>
          <w:color w:val="auto"/>
          <w:szCs w:val="20"/>
        </w:rPr>
        <w:t xml:space="preserve">), or contact the UC Davis Design &amp; Construction Management office at </w:t>
      </w:r>
      <w:hyperlink r:id="rId13" w:history="1">
        <w:r w:rsidRPr="00FE7E83">
          <w:rPr>
            <w:rFonts w:asciiTheme="minorHAnsi" w:eastAsia="Times New Roman" w:hAnsiTheme="minorHAnsi" w:cstheme="minorHAnsi"/>
            <w:color w:val="auto"/>
            <w:szCs w:val="20"/>
          </w:rPr>
          <w:t>dcmcontracts@ucdavis.edu</w:t>
        </w:r>
      </w:hyperlink>
      <w:r w:rsidRPr="00FE7E83">
        <w:rPr>
          <w:rFonts w:asciiTheme="minorHAnsi" w:eastAsia="Times New Roman" w:hAnsiTheme="minorHAnsi" w:cstheme="minorHAnsi"/>
          <w:color w:val="auto"/>
          <w:szCs w:val="20"/>
        </w:rPr>
        <w:t xml:space="preserve"> to receive its annual </w:t>
      </w:r>
      <w:r w:rsidR="00F456F1" w:rsidRPr="00FE7E83">
        <w:rPr>
          <w:rFonts w:asciiTheme="minorHAnsi" w:eastAsia="Times New Roman" w:hAnsiTheme="minorHAnsi" w:cstheme="minorHAnsi"/>
          <w:color w:val="auto"/>
          <w:szCs w:val="20"/>
        </w:rPr>
        <w:t>solicitation of</w:t>
      </w:r>
      <w:r w:rsidRPr="00FE7E83">
        <w:rPr>
          <w:rFonts w:asciiTheme="minorHAnsi" w:eastAsia="Times New Roman" w:hAnsiTheme="minorHAnsi" w:cstheme="minorHAnsi"/>
          <w:color w:val="auto"/>
          <w:szCs w:val="20"/>
        </w:rPr>
        <w:t xml:space="preserve"> interest from consultants to perform architectural, landscape architectural, engineering, environmental, land surveying, construction project management services, and other facility related services.</w:t>
      </w:r>
    </w:p>
    <w:p w14:paraId="542E2953" w14:textId="5F22A1A1" w:rsidR="009F182E" w:rsidRPr="00FE7E83" w:rsidRDefault="00540444" w:rsidP="00E87D32">
      <w:pPr>
        <w:pStyle w:val="ListParagraph"/>
        <w:numPr>
          <w:ilvl w:val="0"/>
          <w:numId w:val="4"/>
        </w:numPr>
        <w:autoSpaceDE w:val="0"/>
        <w:autoSpaceDN w:val="0"/>
        <w:adjustRightInd w:val="0"/>
        <w:spacing w:after="40" w:line="240" w:lineRule="auto"/>
        <w:jc w:val="both"/>
        <w:rPr>
          <w:rFonts w:asciiTheme="minorHAnsi" w:eastAsia="Times New Roman" w:hAnsiTheme="minorHAnsi" w:cstheme="minorHAnsi"/>
          <w:color w:val="auto"/>
          <w:szCs w:val="20"/>
        </w:rPr>
      </w:pPr>
      <w:r w:rsidRPr="00FE7E83">
        <w:rPr>
          <w:rFonts w:asciiTheme="minorHAnsi" w:eastAsia="Times New Roman" w:hAnsiTheme="minorHAnsi" w:cstheme="minorHAnsi"/>
          <w:color w:val="auto"/>
          <w:szCs w:val="20"/>
        </w:rPr>
        <w:t>M</w:t>
      </w:r>
      <w:r w:rsidR="009F182E" w:rsidRPr="00FE7E83">
        <w:rPr>
          <w:rFonts w:asciiTheme="minorHAnsi" w:eastAsia="Times New Roman" w:hAnsiTheme="minorHAnsi" w:cstheme="minorHAnsi"/>
          <w:color w:val="auto"/>
          <w:szCs w:val="20"/>
        </w:rPr>
        <w:t>aintain a list of DBEs</w:t>
      </w:r>
      <w:r w:rsidRPr="00FE7E83">
        <w:rPr>
          <w:rFonts w:asciiTheme="minorHAnsi" w:eastAsia="Times New Roman" w:hAnsiTheme="minorHAnsi" w:cstheme="minorHAnsi"/>
          <w:color w:val="auto"/>
          <w:szCs w:val="20"/>
        </w:rPr>
        <w:t xml:space="preserve"> interested</w:t>
      </w:r>
      <w:r w:rsidR="009F182E" w:rsidRPr="00FE7E83">
        <w:rPr>
          <w:rFonts w:asciiTheme="minorHAnsi" w:eastAsia="Times New Roman" w:hAnsiTheme="minorHAnsi" w:cstheme="minorHAnsi"/>
          <w:color w:val="auto"/>
          <w:szCs w:val="20"/>
        </w:rPr>
        <w:t xml:space="preserve"> in</w:t>
      </w:r>
      <w:r w:rsidRPr="00FE7E83">
        <w:rPr>
          <w:rFonts w:asciiTheme="minorHAnsi" w:eastAsia="Times New Roman" w:hAnsiTheme="minorHAnsi" w:cstheme="minorHAnsi"/>
          <w:color w:val="auto"/>
          <w:szCs w:val="20"/>
        </w:rPr>
        <w:t xml:space="preserve"> business opportunities with </w:t>
      </w:r>
      <w:r w:rsidR="00E87D32" w:rsidRPr="00FE7E83">
        <w:rPr>
          <w:rFonts w:asciiTheme="minorHAnsi" w:eastAsia="Times New Roman" w:hAnsiTheme="minorHAnsi" w:cstheme="minorHAnsi"/>
          <w:color w:val="auto"/>
          <w:szCs w:val="20"/>
        </w:rPr>
        <w:t>Unitrans and</w:t>
      </w:r>
      <w:r w:rsidRPr="00FE7E83">
        <w:rPr>
          <w:rFonts w:asciiTheme="minorHAnsi" w:eastAsia="Times New Roman" w:hAnsiTheme="minorHAnsi" w:cstheme="minorHAnsi"/>
          <w:color w:val="auto"/>
          <w:szCs w:val="20"/>
        </w:rPr>
        <w:t xml:space="preserve"> provide this list to procurement and project management staff prior to</w:t>
      </w:r>
      <w:r w:rsidR="00E000C5" w:rsidRPr="00FE7E83">
        <w:rPr>
          <w:rFonts w:asciiTheme="minorHAnsi" w:eastAsia="Times New Roman" w:hAnsiTheme="minorHAnsi" w:cstheme="minorHAnsi"/>
          <w:color w:val="auto"/>
          <w:szCs w:val="20"/>
        </w:rPr>
        <w:t xml:space="preserve"> soliciting quotes or</w:t>
      </w:r>
      <w:r w:rsidRPr="00FE7E83">
        <w:rPr>
          <w:rFonts w:asciiTheme="minorHAnsi" w:eastAsia="Times New Roman" w:hAnsiTheme="minorHAnsi" w:cstheme="minorHAnsi"/>
          <w:color w:val="auto"/>
          <w:szCs w:val="20"/>
        </w:rPr>
        <w:t xml:space="preserve"> issuing IFBs or RFPs, as applicable</w:t>
      </w:r>
      <w:r w:rsidR="009F182E" w:rsidRPr="00FE7E83">
        <w:rPr>
          <w:rFonts w:asciiTheme="minorHAnsi" w:eastAsia="Times New Roman" w:hAnsiTheme="minorHAnsi" w:cstheme="minorHAnsi"/>
          <w:color w:val="auto"/>
          <w:szCs w:val="20"/>
        </w:rPr>
        <w:t xml:space="preserve">. </w:t>
      </w:r>
    </w:p>
    <w:p w14:paraId="21501117" w14:textId="77777777" w:rsidR="009F182E" w:rsidRPr="00FE7E83" w:rsidRDefault="009F182E" w:rsidP="006E4C0A">
      <w:pPr>
        <w:pStyle w:val="Heading1"/>
        <w:rPr>
          <w:rFonts w:eastAsia="Times New Roman"/>
        </w:rPr>
      </w:pPr>
      <w:bookmarkStart w:id="27" w:name="_Toc39215735"/>
      <w:bookmarkStart w:id="28" w:name="_Toc39215678"/>
      <w:bookmarkStart w:id="29" w:name="_Toc39215213"/>
      <w:r w:rsidRPr="00FE7E83">
        <w:rPr>
          <w:rFonts w:eastAsia="Times New Roman"/>
        </w:rPr>
        <w:t>Fostering Small Business Participation</w:t>
      </w:r>
      <w:bookmarkEnd w:id="27"/>
      <w:bookmarkEnd w:id="28"/>
      <w:bookmarkEnd w:id="29"/>
    </w:p>
    <w:p w14:paraId="31E00750" w14:textId="470F095E" w:rsidR="00540F63" w:rsidRPr="00FE7E83" w:rsidRDefault="00540F63" w:rsidP="00540F63">
      <w:pPr>
        <w:autoSpaceDE w:val="0"/>
        <w:autoSpaceDN w:val="0"/>
        <w:adjustRightInd w:val="0"/>
        <w:spacing w:before="40" w:after="240"/>
        <w:jc w:val="both"/>
        <w:rPr>
          <w:rFonts w:eastAsia="Times New Roman" w:cstheme="minorHAnsi"/>
        </w:rPr>
      </w:pPr>
      <w:bookmarkStart w:id="30" w:name="_Toc39215736"/>
      <w:bookmarkStart w:id="31" w:name="_Toc39215679"/>
      <w:bookmarkStart w:id="32" w:name="_Toc39215214"/>
      <w:r w:rsidRPr="00FE7E83">
        <w:rPr>
          <w:rFonts w:eastAsia="Times New Roman" w:cstheme="minorHAnsi"/>
        </w:rPr>
        <w:t xml:space="preserve">Unitrans has incorporated the following non-discriminatory small business element to its DBE program, in order to facilitate competition on DOT-assisted public works projects by small business concerns (both DBEs and non-DBE small businesses). </w:t>
      </w:r>
      <w:r w:rsidR="002B1E6F" w:rsidRPr="00FE7E83">
        <w:rPr>
          <w:rFonts w:eastAsia="Times New Roman" w:cstheme="minorHAnsi"/>
        </w:rPr>
        <w:t>Unitrans</w:t>
      </w:r>
      <w:r w:rsidRPr="00FE7E83">
        <w:rPr>
          <w:rFonts w:eastAsia="Times New Roman" w:cstheme="minorHAnsi"/>
        </w:rPr>
        <w:t xml:space="preserve"> will structure contracting requirements to facilitate competition by small businesses </w:t>
      </w:r>
      <w:r w:rsidR="008B208B" w:rsidRPr="00FE7E83">
        <w:rPr>
          <w:rFonts w:eastAsia="Times New Roman" w:cstheme="minorHAnsi"/>
        </w:rPr>
        <w:t>and encourage</w:t>
      </w:r>
      <w:r w:rsidR="00E44AFA" w:rsidRPr="00FE7E83">
        <w:rPr>
          <w:rFonts w:eastAsia="Times New Roman" w:cstheme="minorHAnsi"/>
        </w:rPr>
        <w:t xml:space="preserve"> </w:t>
      </w:r>
      <w:r w:rsidRPr="00FE7E83">
        <w:rPr>
          <w:rFonts w:eastAsia="Times New Roman" w:cstheme="minorHAnsi"/>
        </w:rPr>
        <w:t xml:space="preserve">prime contractors to specify elements of work that small businesses can perform to provide subcontract opportunities for those elements to DBEs and other small businesses. </w:t>
      </w:r>
    </w:p>
    <w:p w14:paraId="7A85607A" w14:textId="05FC3276" w:rsidR="00540F63" w:rsidRPr="00FE7E83" w:rsidRDefault="00540F63" w:rsidP="00540F63">
      <w:pPr>
        <w:autoSpaceDE w:val="0"/>
        <w:autoSpaceDN w:val="0"/>
        <w:adjustRightInd w:val="0"/>
        <w:spacing w:after="0"/>
        <w:jc w:val="both"/>
        <w:rPr>
          <w:rFonts w:eastAsia="Times New Roman" w:cstheme="minorHAnsi"/>
        </w:rPr>
      </w:pPr>
      <w:r w:rsidRPr="00FE7E83">
        <w:rPr>
          <w:rFonts w:eastAsia="Times New Roman" w:cstheme="minorHAnsi"/>
        </w:rPr>
        <w:t xml:space="preserve">In addition, </w:t>
      </w:r>
      <w:r w:rsidR="002B1E6F" w:rsidRPr="00FE7E83">
        <w:rPr>
          <w:rFonts w:eastAsia="Times New Roman" w:cstheme="minorHAnsi"/>
        </w:rPr>
        <w:t>Unitrans</w:t>
      </w:r>
      <w:r w:rsidRPr="00FE7E83">
        <w:rPr>
          <w:rFonts w:eastAsia="Times New Roman" w:cstheme="minorHAnsi"/>
        </w:rPr>
        <w:t xml:space="preserve"> commits to the following:</w:t>
      </w:r>
    </w:p>
    <w:p w14:paraId="69D30F0B" w14:textId="1100482F" w:rsidR="00540F63" w:rsidRPr="00FE7E83" w:rsidRDefault="00540F63" w:rsidP="00540F63">
      <w:pPr>
        <w:pStyle w:val="ListParagraph"/>
        <w:numPr>
          <w:ilvl w:val="0"/>
          <w:numId w:val="4"/>
        </w:numPr>
        <w:autoSpaceDE w:val="0"/>
        <w:autoSpaceDN w:val="0"/>
        <w:adjustRightInd w:val="0"/>
        <w:spacing w:after="40" w:line="240" w:lineRule="auto"/>
        <w:jc w:val="both"/>
        <w:rPr>
          <w:rFonts w:asciiTheme="minorHAnsi" w:eastAsia="Times New Roman" w:hAnsiTheme="minorHAnsi" w:cstheme="minorHAnsi"/>
          <w:color w:val="auto"/>
          <w:szCs w:val="20"/>
        </w:rPr>
      </w:pPr>
      <w:r w:rsidRPr="00FE7E83">
        <w:rPr>
          <w:rFonts w:asciiTheme="minorHAnsi" w:eastAsia="Times New Roman" w:hAnsiTheme="minorHAnsi" w:cstheme="minorHAnsi"/>
          <w:color w:val="auto"/>
          <w:szCs w:val="20"/>
        </w:rPr>
        <w:t xml:space="preserve">Organize large contracts into smaller contracts when feasible, which would make contracts more accessible to small business, and would not impose significant additional cost, delay or risk to </w:t>
      </w:r>
      <w:r w:rsidR="002B1E6F" w:rsidRPr="00FE7E83">
        <w:rPr>
          <w:rFonts w:asciiTheme="minorHAnsi" w:eastAsia="Times New Roman" w:hAnsiTheme="minorHAnsi" w:cstheme="minorHAnsi"/>
          <w:color w:val="auto"/>
          <w:szCs w:val="20"/>
        </w:rPr>
        <w:t>Unitrans</w:t>
      </w:r>
      <w:r w:rsidR="00E34EC1" w:rsidRPr="00FE7E83">
        <w:rPr>
          <w:rFonts w:asciiTheme="minorHAnsi" w:eastAsia="Times New Roman" w:hAnsiTheme="minorHAnsi" w:cstheme="minorHAnsi"/>
          <w:color w:val="auto"/>
          <w:szCs w:val="20"/>
        </w:rPr>
        <w:t>.</w:t>
      </w:r>
    </w:p>
    <w:p w14:paraId="60F51A65" w14:textId="287D62E5" w:rsidR="00540F63" w:rsidRPr="00FE7E83" w:rsidRDefault="00540F63" w:rsidP="00540F63">
      <w:pPr>
        <w:pStyle w:val="ListParagraph"/>
        <w:numPr>
          <w:ilvl w:val="0"/>
          <w:numId w:val="4"/>
        </w:numPr>
        <w:autoSpaceDE w:val="0"/>
        <w:autoSpaceDN w:val="0"/>
        <w:adjustRightInd w:val="0"/>
        <w:spacing w:after="40" w:line="240" w:lineRule="auto"/>
        <w:jc w:val="both"/>
        <w:rPr>
          <w:rFonts w:asciiTheme="minorHAnsi" w:eastAsia="Times New Roman" w:hAnsiTheme="minorHAnsi" w:cstheme="minorHAnsi"/>
          <w:color w:val="auto"/>
          <w:szCs w:val="20"/>
        </w:rPr>
      </w:pPr>
      <w:r w:rsidRPr="00FE7E83">
        <w:rPr>
          <w:rFonts w:asciiTheme="minorHAnsi" w:eastAsia="Times New Roman" w:hAnsiTheme="minorHAnsi" w:cstheme="minorHAnsi"/>
          <w:color w:val="auto"/>
          <w:szCs w:val="20"/>
        </w:rPr>
        <w:t>Assist in overcoming limitations in bonding and financing by referral to an SBA resource</w:t>
      </w:r>
      <w:r w:rsidR="00E34EC1" w:rsidRPr="00FE7E83">
        <w:rPr>
          <w:rFonts w:asciiTheme="minorHAnsi" w:eastAsia="Times New Roman" w:hAnsiTheme="minorHAnsi" w:cstheme="minorHAnsi"/>
          <w:color w:val="auto"/>
          <w:szCs w:val="20"/>
        </w:rPr>
        <w:t>.</w:t>
      </w:r>
    </w:p>
    <w:p w14:paraId="36028922" w14:textId="70009365" w:rsidR="00540F63" w:rsidRPr="00FE7E83" w:rsidRDefault="00540F63" w:rsidP="00540F63">
      <w:pPr>
        <w:pStyle w:val="ListParagraph"/>
        <w:numPr>
          <w:ilvl w:val="0"/>
          <w:numId w:val="4"/>
        </w:numPr>
        <w:autoSpaceDE w:val="0"/>
        <w:autoSpaceDN w:val="0"/>
        <w:adjustRightInd w:val="0"/>
        <w:spacing w:after="40" w:line="240" w:lineRule="auto"/>
        <w:jc w:val="both"/>
        <w:rPr>
          <w:rFonts w:asciiTheme="minorHAnsi" w:eastAsia="Times New Roman" w:hAnsiTheme="minorHAnsi" w:cstheme="minorHAnsi"/>
          <w:color w:val="auto"/>
          <w:szCs w:val="20"/>
        </w:rPr>
      </w:pPr>
      <w:r w:rsidRPr="00FE7E83">
        <w:rPr>
          <w:rFonts w:asciiTheme="minorHAnsi" w:eastAsia="Times New Roman" w:hAnsiTheme="minorHAnsi" w:cstheme="minorHAnsi"/>
          <w:color w:val="auto"/>
          <w:szCs w:val="20"/>
        </w:rPr>
        <w:t>Providing business development assistance by referral to an SBA resource that will provide: instructions for preparation of bid specifications; procurement policy procedures and general bid requirements; information on specific reasons for unsuccessful bids through debriefing sessions; instruction on job performance requirements; and referrals to firms who offer advice and assistance through mentor-protégé programs</w:t>
      </w:r>
      <w:r w:rsidR="00E34EC1" w:rsidRPr="00FE7E83">
        <w:rPr>
          <w:rFonts w:asciiTheme="minorHAnsi" w:eastAsia="Times New Roman" w:hAnsiTheme="minorHAnsi" w:cstheme="minorHAnsi"/>
          <w:color w:val="auto"/>
          <w:szCs w:val="20"/>
        </w:rPr>
        <w:t>.</w:t>
      </w:r>
    </w:p>
    <w:p w14:paraId="1A539B2C" w14:textId="279C93E9" w:rsidR="00540F63" w:rsidRPr="00FE7E83" w:rsidRDefault="00540F63" w:rsidP="00540F63">
      <w:pPr>
        <w:pStyle w:val="ListParagraph"/>
        <w:numPr>
          <w:ilvl w:val="0"/>
          <w:numId w:val="4"/>
        </w:numPr>
        <w:autoSpaceDE w:val="0"/>
        <w:autoSpaceDN w:val="0"/>
        <w:adjustRightInd w:val="0"/>
        <w:spacing w:after="40" w:line="240" w:lineRule="auto"/>
        <w:jc w:val="both"/>
        <w:rPr>
          <w:rFonts w:asciiTheme="minorHAnsi" w:eastAsia="Times New Roman" w:hAnsiTheme="minorHAnsi" w:cstheme="minorHAnsi"/>
          <w:color w:val="auto"/>
          <w:szCs w:val="20"/>
        </w:rPr>
      </w:pPr>
      <w:r w:rsidRPr="00FE7E83">
        <w:rPr>
          <w:rFonts w:asciiTheme="minorHAnsi" w:eastAsia="Times New Roman" w:hAnsiTheme="minorHAnsi" w:cstheme="minorHAnsi"/>
          <w:color w:val="auto"/>
          <w:szCs w:val="20"/>
        </w:rPr>
        <w:t xml:space="preserve">Facilitating introductions to </w:t>
      </w:r>
      <w:r w:rsidR="002B1E6F" w:rsidRPr="00FE7E83">
        <w:rPr>
          <w:rFonts w:asciiTheme="minorHAnsi" w:eastAsia="Times New Roman" w:hAnsiTheme="minorHAnsi" w:cstheme="minorHAnsi"/>
          <w:color w:val="auto"/>
          <w:szCs w:val="20"/>
        </w:rPr>
        <w:t>Unitrans</w:t>
      </w:r>
      <w:r w:rsidRPr="00FE7E83">
        <w:rPr>
          <w:rFonts w:asciiTheme="minorHAnsi" w:eastAsia="Times New Roman" w:hAnsiTheme="minorHAnsi" w:cstheme="minorHAnsi"/>
          <w:color w:val="auto"/>
          <w:szCs w:val="20"/>
        </w:rPr>
        <w:t xml:space="preserve"> and other U.S. DOT recipients’ contracting activities</w:t>
      </w:r>
      <w:r w:rsidR="00E34EC1" w:rsidRPr="00FE7E83">
        <w:rPr>
          <w:rFonts w:asciiTheme="minorHAnsi" w:eastAsia="Times New Roman" w:hAnsiTheme="minorHAnsi" w:cstheme="minorHAnsi"/>
          <w:color w:val="auto"/>
          <w:szCs w:val="20"/>
        </w:rPr>
        <w:t>.</w:t>
      </w:r>
    </w:p>
    <w:p w14:paraId="147494D8" w14:textId="7044BA05" w:rsidR="00540F63" w:rsidRPr="00FE7E83" w:rsidRDefault="00540F63" w:rsidP="00540F63">
      <w:pPr>
        <w:pStyle w:val="ListParagraph"/>
        <w:numPr>
          <w:ilvl w:val="0"/>
          <w:numId w:val="4"/>
        </w:numPr>
        <w:autoSpaceDE w:val="0"/>
        <w:autoSpaceDN w:val="0"/>
        <w:adjustRightInd w:val="0"/>
        <w:spacing w:after="40" w:line="240" w:lineRule="auto"/>
        <w:jc w:val="both"/>
        <w:rPr>
          <w:rFonts w:asciiTheme="minorHAnsi" w:eastAsia="Times New Roman" w:hAnsiTheme="minorHAnsi" w:cstheme="minorHAnsi"/>
          <w:color w:val="auto"/>
          <w:szCs w:val="20"/>
        </w:rPr>
      </w:pPr>
      <w:r w:rsidRPr="00FE7E83">
        <w:rPr>
          <w:rFonts w:asciiTheme="minorHAnsi" w:eastAsia="Times New Roman" w:hAnsiTheme="minorHAnsi" w:cstheme="minorHAnsi"/>
          <w:color w:val="auto"/>
          <w:szCs w:val="20"/>
        </w:rPr>
        <w:t>Providing outreach and communications programs on contract procedures and contract opportunities to ensure the inclusion of small businesses</w:t>
      </w:r>
      <w:r w:rsidR="00E34EC1" w:rsidRPr="00FE7E83">
        <w:rPr>
          <w:rFonts w:asciiTheme="minorHAnsi" w:eastAsia="Times New Roman" w:hAnsiTheme="minorHAnsi" w:cstheme="minorHAnsi"/>
          <w:color w:val="auto"/>
          <w:szCs w:val="20"/>
        </w:rPr>
        <w:t>.</w:t>
      </w:r>
    </w:p>
    <w:p w14:paraId="577EDC3D" w14:textId="79259DFF" w:rsidR="00540F63" w:rsidRPr="00FE7E83" w:rsidRDefault="00540F63" w:rsidP="00540F63">
      <w:pPr>
        <w:pStyle w:val="ListParagraph"/>
        <w:numPr>
          <w:ilvl w:val="0"/>
          <w:numId w:val="4"/>
        </w:numPr>
        <w:autoSpaceDE w:val="0"/>
        <w:autoSpaceDN w:val="0"/>
        <w:adjustRightInd w:val="0"/>
        <w:spacing w:after="40" w:line="240" w:lineRule="auto"/>
        <w:jc w:val="both"/>
        <w:rPr>
          <w:rFonts w:asciiTheme="minorHAnsi" w:eastAsia="Times New Roman" w:hAnsiTheme="minorHAnsi" w:cstheme="minorHAnsi"/>
          <w:color w:val="auto"/>
          <w:szCs w:val="20"/>
        </w:rPr>
      </w:pPr>
      <w:r w:rsidRPr="00FE7E83">
        <w:rPr>
          <w:rFonts w:asciiTheme="minorHAnsi" w:eastAsia="Times New Roman" w:hAnsiTheme="minorHAnsi" w:cstheme="minorHAnsi"/>
          <w:color w:val="auto"/>
          <w:szCs w:val="20"/>
        </w:rPr>
        <w:t>Consider setting race neutral small business goals on DOT funded contracts</w:t>
      </w:r>
      <w:r w:rsidR="00E34EC1" w:rsidRPr="00FE7E83">
        <w:rPr>
          <w:rFonts w:asciiTheme="minorHAnsi" w:eastAsia="Times New Roman" w:hAnsiTheme="minorHAnsi" w:cstheme="minorHAnsi"/>
          <w:color w:val="auto"/>
          <w:szCs w:val="20"/>
        </w:rPr>
        <w:t>.</w:t>
      </w:r>
    </w:p>
    <w:p w14:paraId="38D3EBB9" w14:textId="1D092F2F" w:rsidR="00540F63" w:rsidRPr="00FE7E83" w:rsidRDefault="00540F63" w:rsidP="00540F63">
      <w:pPr>
        <w:pStyle w:val="ListParagraph"/>
        <w:numPr>
          <w:ilvl w:val="0"/>
          <w:numId w:val="4"/>
        </w:numPr>
        <w:autoSpaceDE w:val="0"/>
        <w:autoSpaceDN w:val="0"/>
        <w:adjustRightInd w:val="0"/>
        <w:spacing w:after="40" w:line="240" w:lineRule="auto"/>
        <w:jc w:val="both"/>
        <w:rPr>
          <w:rFonts w:asciiTheme="minorHAnsi" w:eastAsia="Times New Roman" w:hAnsiTheme="minorHAnsi" w:cstheme="minorHAnsi"/>
          <w:color w:val="auto"/>
          <w:szCs w:val="20"/>
        </w:rPr>
      </w:pPr>
      <w:r w:rsidRPr="00FE7E83">
        <w:rPr>
          <w:rFonts w:asciiTheme="minorHAnsi" w:eastAsia="Times New Roman" w:hAnsiTheme="minorHAnsi" w:cstheme="minorHAnsi"/>
          <w:color w:val="auto"/>
          <w:szCs w:val="20"/>
        </w:rPr>
        <w:t>Consider setting contract set asides for small business on DOT funded contracts</w:t>
      </w:r>
      <w:r w:rsidR="00E34EC1" w:rsidRPr="00FE7E83">
        <w:rPr>
          <w:rFonts w:asciiTheme="minorHAnsi" w:eastAsia="Times New Roman" w:hAnsiTheme="minorHAnsi" w:cstheme="minorHAnsi"/>
          <w:color w:val="auto"/>
          <w:szCs w:val="20"/>
        </w:rPr>
        <w:t>.</w:t>
      </w:r>
      <w:r w:rsidRPr="00FE7E83">
        <w:rPr>
          <w:rFonts w:asciiTheme="minorHAnsi" w:eastAsia="Times New Roman" w:hAnsiTheme="minorHAnsi" w:cstheme="minorHAnsi"/>
          <w:color w:val="auto"/>
          <w:szCs w:val="20"/>
        </w:rPr>
        <w:t xml:space="preserve"> </w:t>
      </w:r>
    </w:p>
    <w:p w14:paraId="3506F0B3" w14:textId="31840F27" w:rsidR="00540F63" w:rsidRPr="00FE7E83" w:rsidRDefault="00540F63" w:rsidP="00540F63">
      <w:pPr>
        <w:pStyle w:val="ListParagraph"/>
        <w:numPr>
          <w:ilvl w:val="0"/>
          <w:numId w:val="4"/>
        </w:numPr>
        <w:autoSpaceDE w:val="0"/>
        <w:autoSpaceDN w:val="0"/>
        <w:adjustRightInd w:val="0"/>
        <w:spacing w:after="40" w:line="240" w:lineRule="auto"/>
        <w:jc w:val="both"/>
        <w:rPr>
          <w:rFonts w:asciiTheme="minorHAnsi" w:eastAsia="Times New Roman" w:hAnsiTheme="minorHAnsi" w:cstheme="minorHAnsi"/>
          <w:color w:val="auto"/>
          <w:szCs w:val="20"/>
        </w:rPr>
      </w:pPr>
      <w:r w:rsidRPr="00FE7E83">
        <w:rPr>
          <w:rFonts w:asciiTheme="minorHAnsi" w:eastAsia="Times New Roman" w:hAnsiTheme="minorHAnsi" w:cstheme="minorHAnsi"/>
          <w:color w:val="auto"/>
          <w:szCs w:val="20"/>
        </w:rPr>
        <w:t>Encourage current or past</w:t>
      </w:r>
      <w:r w:rsidR="00324866" w:rsidRPr="00FE7E83">
        <w:rPr>
          <w:rFonts w:asciiTheme="minorHAnsi" w:eastAsia="Times New Roman" w:hAnsiTheme="minorHAnsi" w:cstheme="minorHAnsi"/>
          <w:color w:val="auto"/>
          <w:szCs w:val="20"/>
        </w:rPr>
        <w:t xml:space="preserve"> Unitrans</w:t>
      </w:r>
      <w:r w:rsidRPr="00FE7E83">
        <w:rPr>
          <w:rFonts w:asciiTheme="minorHAnsi" w:eastAsia="Times New Roman" w:hAnsiTheme="minorHAnsi" w:cstheme="minorHAnsi"/>
          <w:color w:val="auto"/>
          <w:szCs w:val="20"/>
        </w:rPr>
        <w:t xml:space="preserve"> contractors who may qualify for DBE-certification to seek and obtain DBE-certification. </w:t>
      </w:r>
    </w:p>
    <w:p w14:paraId="49DCF5A0" w14:textId="77777777" w:rsidR="009F182E" w:rsidRPr="00FE7E83" w:rsidRDefault="009F182E" w:rsidP="006E4C0A">
      <w:pPr>
        <w:pStyle w:val="Heading1"/>
        <w:rPr>
          <w:rFonts w:eastAsia="Times New Roman"/>
        </w:rPr>
      </w:pPr>
      <w:r w:rsidRPr="00FE7E83">
        <w:rPr>
          <w:rFonts w:eastAsia="Times New Roman"/>
        </w:rPr>
        <w:t>VII. PUBLIC PARTICIPATION AND FACILITATION</w:t>
      </w:r>
      <w:bookmarkEnd w:id="30"/>
      <w:bookmarkEnd w:id="31"/>
      <w:bookmarkEnd w:id="32"/>
    </w:p>
    <w:sectPr w:rsidR="009F182E" w:rsidRPr="00FE7E83" w:rsidSect="00164EDB">
      <w:headerReference w:type="default" r:id="rId14"/>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80ED" w14:textId="77777777" w:rsidR="00164EDB" w:rsidRDefault="00164EDB" w:rsidP="00585971">
      <w:pPr>
        <w:spacing w:after="0"/>
      </w:pPr>
      <w:r>
        <w:separator/>
      </w:r>
    </w:p>
  </w:endnote>
  <w:endnote w:type="continuationSeparator" w:id="0">
    <w:p w14:paraId="4FC42593" w14:textId="77777777" w:rsidR="00164EDB" w:rsidRDefault="00164EDB" w:rsidP="00585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ヒラギノ角ゴ Pro W3">
    <w:altName w:val="MS Mincho"/>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85BB" w14:textId="77777777" w:rsidR="00164EDB" w:rsidRDefault="00164EDB" w:rsidP="00585971">
      <w:pPr>
        <w:spacing w:after="0"/>
      </w:pPr>
      <w:r>
        <w:separator/>
      </w:r>
    </w:p>
  </w:footnote>
  <w:footnote w:type="continuationSeparator" w:id="0">
    <w:p w14:paraId="72D699BD" w14:textId="77777777" w:rsidR="00164EDB" w:rsidRDefault="00164EDB" w:rsidP="00585971">
      <w:pPr>
        <w:spacing w:after="0"/>
      </w:pPr>
      <w:r>
        <w:continuationSeparator/>
      </w:r>
    </w:p>
  </w:footnote>
  <w:footnote w:id="1">
    <w:p w14:paraId="089DA561" w14:textId="77777777" w:rsidR="008E1EEF" w:rsidRDefault="008E1EEF" w:rsidP="008E1EEF">
      <w:pPr>
        <w:pStyle w:val="FootnoteText"/>
      </w:pPr>
      <w:r>
        <w:rPr>
          <w:rStyle w:val="FootnoteReference"/>
        </w:rPr>
        <w:footnoteRef/>
      </w:r>
      <w:r>
        <w:t xml:space="preserve"> </w:t>
      </w:r>
      <w:r>
        <w:rPr>
          <w:rFonts w:eastAsia="Times New Roman" w:cstheme="minorHAnsi"/>
        </w:rPr>
        <w:t>T</w:t>
      </w:r>
      <w:r w:rsidRPr="00133B71">
        <w:rPr>
          <w:rFonts w:eastAsia="Times New Roman" w:cstheme="minorHAnsi"/>
        </w:rPr>
        <w:t>he name and brief description of each project.</w:t>
      </w:r>
    </w:p>
  </w:footnote>
  <w:footnote w:id="2">
    <w:p w14:paraId="22DE1D88" w14:textId="77777777" w:rsidR="008E1EEF" w:rsidRDefault="008E1EEF" w:rsidP="008E1EEF">
      <w:pPr>
        <w:pStyle w:val="FootnoteText"/>
      </w:pPr>
      <w:r>
        <w:rPr>
          <w:rStyle w:val="FootnoteReference"/>
        </w:rPr>
        <w:footnoteRef/>
      </w:r>
      <w:r>
        <w:t xml:space="preserve"> </w:t>
      </w:r>
      <w:r>
        <w:rPr>
          <w:rFonts w:eastAsia="Times New Roman" w:cstheme="minorHAnsi"/>
        </w:rPr>
        <w:t>T</w:t>
      </w:r>
      <w:r w:rsidRPr="00133B71">
        <w:rPr>
          <w:rFonts w:eastAsia="Times New Roman" w:cstheme="minorHAnsi"/>
        </w:rPr>
        <w:t>he total estimated cost of each project.</w:t>
      </w:r>
    </w:p>
  </w:footnote>
  <w:footnote w:id="3">
    <w:p w14:paraId="3E1FB316" w14:textId="33B2B6A3" w:rsidR="008E1EEF" w:rsidRDefault="008E1EEF" w:rsidP="008E1EEF">
      <w:pPr>
        <w:pStyle w:val="FootnoteText"/>
      </w:pPr>
      <w:r>
        <w:rPr>
          <w:rStyle w:val="FootnoteReference"/>
        </w:rPr>
        <w:footnoteRef/>
      </w:r>
      <w:r>
        <w:t xml:space="preserve"> </w:t>
      </w:r>
      <w:r>
        <w:rPr>
          <w:rFonts w:eastAsia="Times New Roman" w:cstheme="minorHAnsi"/>
        </w:rPr>
        <w:t>T</w:t>
      </w:r>
      <w:r w:rsidRPr="00133B71">
        <w:rPr>
          <w:rFonts w:eastAsia="Times New Roman" w:cstheme="minorHAnsi"/>
        </w:rPr>
        <w:t>he estimated F</w:t>
      </w:r>
      <w:r w:rsidR="00333A16">
        <w:rPr>
          <w:rFonts w:eastAsia="Times New Roman" w:cstheme="minorHAnsi"/>
        </w:rPr>
        <w:t>T</w:t>
      </w:r>
      <w:r w:rsidRPr="00133B71">
        <w:rPr>
          <w:rFonts w:eastAsia="Times New Roman" w:cstheme="minorHAnsi"/>
        </w:rPr>
        <w:t>A dollar share for each project.</w:t>
      </w:r>
    </w:p>
  </w:footnote>
  <w:footnote w:id="4">
    <w:p w14:paraId="6126342C" w14:textId="52F20ED3" w:rsidR="008E1EEF" w:rsidRDefault="008E1EEF" w:rsidP="008E1EEF">
      <w:pPr>
        <w:pStyle w:val="FootnoteText"/>
      </w:pPr>
      <w:r>
        <w:rPr>
          <w:rStyle w:val="FootnoteReference"/>
        </w:rPr>
        <w:footnoteRef/>
      </w:r>
      <w:r>
        <w:t xml:space="preserve"> </w:t>
      </w:r>
      <w:r>
        <w:rPr>
          <w:rFonts w:eastAsia="Times New Roman" w:cstheme="minorHAnsi"/>
        </w:rPr>
        <w:t xml:space="preserve">The </w:t>
      </w:r>
      <w:r w:rsidRPr="00133B71">
        <w:rPr>
          <w:rFonts w:eastAsia="Times New Roman" w:cstheme="minorHAnsi"/>
        </w:rPr>
        <w:t>estimated F</w:t>
      </w:r>
      <w:r w:rsidR="00333A16">
        <w:rPr>
          <w:rFonts w:eastAsia="Times New Roman" w:cstheme="minorHAnsi"/>
        </w:rPr>
        <w:t>T</w:t>
      </w:r>
      <w:r w:rsidRPr="00133B71">
        <w:rPr>
          <w:rFonts w:eastAsia="Times New Roman" w:cstheme="minorHAnsi"/>
        </w:rPr>
        <w:t>A percentage share for each project.</w:t>
      </w:r>
    </w:p>
  </w:footnote>
  <w:footnote w:id="5">
    <w:p w14:paraId="16FE13F9" w14:textId="5BE47926" w:rsidR="00DC324A" w:rsidRDefault="00DC324A" w:rsidP="00DC324A">
      <w:pPr>
        <w:pStyle w:val="FootnoteText"/>
      </w:pPr>
      <w:r>
        <w:rPr>
          <w:rStyle w:val="FootnoteReference"/>
        </w:rPr>
        <w:footnoteRef/>
      </w:r>
      <w:r>
        <w:t xml:space="preserve"> </w:t>
      </w:r>
      <w:r>
        <w:rPr>
          <w:rFonts w:eastAsia="Times New Roman" w:cstheme="minorHAnsi"/>
        </w:rPr>
        <w:t>T</w:t>
      </w:r>
      <w:r w:rsidRPr="00BB1BEE">
        <w:rPr>
          <w:rFonts w:eastAsia="Times New Roman" w:cstheme="minorHAnsi"/>
        </w:rPr>
        <w:t>he estimated F</w:t>
      </w:r>
      <w:r w:rsidR="00333A16">
        <w:rPr>
          <w:rFonts w:eastAsia="Times New Roman" w:cstheme="minorHAnsi"/>
        </w:rPr>
        <w:t>T</w:t>
      </w:r>
      <w:r w:rsidRPr="00BB1BEE">
        <w:rPr>
          <w:rFonts w:eastAsia="Times New Roman" w:cstheme="minorHAnsi"/>
        </w:rPr>
        <w:t>A dollar share for each project.</w:t>
      </w:r>
    </w:p>
  </w:footnote>
  <w:footnote w:id="6">
    <w:p w14:paraId="2C50F3ED" w14:textId="77777777" w:rsidR="00DC324A" w:rsidRDefault="00DC324A" w:rsidP="00DC324A">
      <w:pPr>
        <w:pStyle w:val="FootnoteText"/>
      </w:pPr>
      <w:r>
        <w:rPr>
          <w:rStyle w:val="FootnoteReference"/>
        </w:rPr>
        <w:footnoteRef/>
      </w:r>
      <w:r>
        <w:t xml:space="preserve"> </w:t>
      </w:r>
      <w:r>
        <w:rPr>
          <w:rFonts w:eastAsia="Times New Roman" w:cstheme="minorHAnsi"/>
        </w:rPr>
        <w:t>T</w:t>
      </w:r>
      <w:r w:rsidRPr="00BB1BEE">
        <w:rPr>
          <w:rFonts w:eastAsia="Times New Roman" w:cstheme="minorHAnsi"/>
        </w:rPr>
        <w:t>he category of work (NAICS) code</w:t>
      </w:r>
      <w:r>
        <w:rPr>
          <w:rFonts w:eastAsia="Times New Roman" w:cstheme="minorHAnsi"/>
        </w:rPr>
        <w:t xml:space="preserve"> for each project.</w:t>
      </w:r>
    </w:p>
  </w:footnote>
  <w:footnote w:id="7">
    <w:p w14:paraId="38AA94FA" w14:textId="77777777" w:rsidR="00DC324A" w:rsidRDefault="00DC324A" w:rsidP="00DC324A">
      <w:pPr>
        <w:pStyle w:val="FootnoteText"/>
      </w:pPr>
      <w:r>
        <w:rPr>
          <w:rStyle w:val="FootnoteReference"/>
        </w:rPr>
        <w:footnoteRef/>
      </w:r>
      <w:r>
        <w:t xml:space="preserve"> </w:t>
      </w:r>
      <w:r>
        <w:rPr>
          <w:rFonts w:eastAsia="Times New Roman" w:cstheme="minorHAnsi"/>
        </w:rPr>
        <w:t>T</w:t>
      </w:r>
      <w:r w:rsidRPr="00BB1BEE">
        <w:rPr>
          <w:rFonts w:eastAsia="Times New Roman" w:cstheme="minorHAnsi"/>
        </w:rPr>
        <w:t>he category of work (NAICS) title.</w:t>
      </w:r>
    </w:p>
  </w:footnote>
  <w:footnote w:id="8">
    <w:p w14:paraId="03221869" w14:textId="4ED6ED9C" w:rsidR="00DC324A" w:rsidRDefault="00DC324A" w:rsidP="00DC324A">
      <w:pPr>
        <w:pStyle w:val="FootnoteText"/>
      </w:pPr>
      <w:r>
        <w:rPr>
          <w:rStyle w:val="FootnoteReference"/>
        </w:rPr>
        <w:footnoteRef/>
      </w:r>
      <w:r>
        <w:t xml:space="preserve"> </w:t>
      </w:r>
      <w:r>
        <w:rPr>
          <w:rFonts w:eastAsia="Times New Roman" w:cstheme="minorHAnsi"/>
        </w:rPr>
        <w:t>T</w:t>
      </w:r>
      <w:r w:rsidRPr="00BB1BEE">
        <w:rPr>
          <w:rFonts w:eastAsia="Times New Roman" w:cstheme="minorHAnsi"/>
        </w:rPr>
        <w:t>he estimated F</w:t>
      </w:r>
      <w:r w:rsidR="00333A16">
        <w:rPr>
          <w:rFonts w:eastAsia="Times New Roman" w:cstheme="minorHAnsi"/>
        </w:rPr>
        <w:t>T</w:t>
      </w:r>
      <w:r w:rsidRPr="00BB1BEE">
        <w:rPr>
          <w:rFonts w:eastAsia="Times New Roman" w:cstheme="minorHAnsi"/>
        </w:rPr>
        <w:t>A dollar</w:t>
      </w:r>
      <w:r>
        <w:rPr>
          <w:rFonts w:eastAsia="Times New Roman" w:cstheme="minorHAnsi"/>
        </w:rPr>
        <w:t>s</w:t>
      </w:r>
      <w:r w:rsidRPr="00BB1BEE">
        <w:rPr>
          <w:rFonts w:eastAsia="Times New Roman" w:cstheme="minorHAnsi"/>
        </w:rPr>
        <w:t xml:space="preserve"> for each NAICS code</w:t>
      </w:r>
      <w:r>
        <w:rPr>
          <w:rFonts w:eastAsia="Times New Roman" w:cstheme="minorHAnsi"/>
        </w:rPr>
        <w:t xml:space="preserve"> in each project. </w:t>
      </w:r>
    </w:p>
  </w:footnote>
  <w:footnote w:id="9">
    <w:p w14:paraId="4E0F2299" w14:textId="77777777" w:rsidR="00DC324A" w:rsidRDefault="00DC324A" w:rsidP="00DC324A">
      <w:pPr>
        <w:pStyle w:val="FootnoteText"/>
      </w:pPr>
      <w:r>
        <w:rPr>
          <w:rStyle w:val="FootnoteReference"/>
        </w:rPr>
        <w:footnoteRef/>
      </w:r>
      <w:r>
        <w:t xml:space="preserve"> </w:t>
      </w:r>
      <w:r>
        <w:rPr>
          <w:rFonts w:eastAsia="Times New Roman" w:cstheme="minorHAnsi"/>
        </w:rPr>
        <w:t>T</w:t>
      </w:r>
      <w:r w:rsidRPr="00BB1BEE">
        <w:rPr>
          <w:rFonts w:eastAsia="Times New Roman" w:cstheme="minorHAnsi"/>
        </w:rPr>
        <w:t xml:space="preserve">he </w:t>
      </w:r>
      <w:r>
        <w:rPr>
          <w:rFonts w:eastAsia="Times New Roman" w:cstheme="minorHAnsi"/>
        </w:rPr>
        <w:t>total dollars for each category of work (NAICS) that are summed from the values in Table 2</w:t>
      </w:r>
      <w:r w:rsidRPr="00BB1BEE">
        <w:rPr>
          <w:rFonts w:eastAsia="Times New Roman" w:cstheme="minorHAnsi"/>
        </w:rPr>
        <w:t>.</w:t>
      </w:r>
    </w:p>
  </w:footnote>
  <w:footnote w:id="10">
    <w:p w14:paraId="35AF391A" w14:textId="77777777" w:rsidR="00DC324A" w:rsidRDefault="00DC324A" w:rsidP="00DC324A">
      <w:pPr>
        <w:pStyle w:val="FootnoteText"/>
      </w:pPr>
      <w:r>
        <w:rPr>
          <w:rStyle w:val="FootnoteReference"/>
        </w:rPr>
        <w:footnoteRef/>
      </w:r>
      <w:r>
        <w:t xml:space="preserve"> </w:t>
      </w:r>
      <w:r>
        <w:rPr>
          <w:rFonts w:eastAsia="Times New Roman" w:cstheme="minorHAnsi"/>
        </w:rPr>
        <w:t>The</w:t>
      </w:r>
      <w:r w:rsidRPr="00BB1BEE">
        <w:rPr>
          <w:rFonts w:eastAsia="Times New Roman" w:cstheme="minorHAnsi"/>
        </w:rPr>
        <w:t xml:space="preserve"> </w:t>
      </w:r>
      <w:r>
        <w:rPr>
          <w:rFonts w:eastAsia="Times New Roman" w:cstheme="minorHAnsi"/>
        </w:rPr>
        <w:t>percentage of dollars for each category of work (NAICS) for all projects anticipated to be awarded.</w:t>
      </w:r>
    </w:p>
  </w:footnote>
  <w:footnote w:id="11">
    <w:p w14:paraId="43F13576" w14:textId="323FB84C" w:rsidR="009E01FD" w:rsidRDefault="009E01FD">
      <w:pPr>
        <w:pStyle w:val="FootnoteText"/>
      </w:pPr>
      <w:r w:rsidRPr="000C1E75">
        <w:rPr>
          <w:rStyle w:val="FootnoteReference"/>
          <w:color w:val="444444" w:themeColor="text1"/>
        </w:rPr>
        <w:footnoteRef/>
      </w:r>
      <w:r w:rsidRPr="000C1E75">
        <w:rPr>
          <w:color w:val="444444" w:themeColor="text1"/>
        </w:rPr>
        <w:t xml:space="preserve"> </w:t>
      </w:r>
      <w:r w:rsidRPr="000C1E75">
        <w:rPr>
          <w:rFonts w:eastAsia="Times New Roman" w:cstheme="minorHAnsi"/>
          <w:color w:val="444444" w:themeColor="text1"/>
        </w:rPr>
        <w:t>26.45 represents Title 49 CFR Part 26 regulatory goal setting methodology reference.</w:t>
      </w:r>
    </w:p>
  </w:footnote>
  <w:footnote w:id="12">
    <w:p w14:paraId="2B4258F5" w14:textId="77777777" w:rsidR="00A04400" w:rsidRDefault="00A04400" w:rsidP="00A04400">
      <w:pPr>
        <w:pStyle w:val="FootnoteText"/>
      </w:pPr>
      <w:r>
        <w:rPr>
          <w:rStyle w:val="FootnoteReference"/>
        </w:rPr>
        <w:footnoteRef/>
      </w:r>
      <w:r>
        <w:t xml:space="preserve"> </w:t>
      </w:r>
      <w:r>
        <w:rPr>
          <w:rFonts w:eastAsia="Times New Roman" w:cstheme="minorHAnsi"/>
        </w:rPr>
        <w:t>T</w:t>
      </w:r>
      <w:r w:rsidRPr="00F807A5">
        <w:rPr>
          <w:rFonts w:eastAsia="Times New Roman" w:cstheme="minorHAnsi"/>
        </w:rPr>
        <w:t xml:space="preserve">he </w:t>
      </w:r>
      <w:r w:rsidRPr="002C6148">
        <w:rPr>
          <w:rFonts w:eastAsia="Times New Roman" w:cstheme="minorHAnsi"/>
        </w:rPr>
        <w:t>number of DBEs in the market area for each NAICS code from the CUCP DBE Database of Certified Firms</w:t>
      </w:r>
      <w:r w:rsidRPr="00F807A5">
        <w:rPr>
          <w:rFonts w:eastAsia="Times New Roman" w:cstheme="minorHAnsi"/>
        </w:rPr>
        <w:t>.</w:t>
      </w:r>
    </w:p>
  </w:footnote>
  <w:footnote w:id="13">
    <w:p w14:paraId="2B5B76A3" w14:textId="1F668A6A" w:rsidR="00A04400" w:rsidRDefault="00A04400" w:rsidP="00A04400">
      <w:pPr>
        <w:pStyle w:val="FootnoteText"/>
        <w:ind w:left="270" w:hanging="270"/>
      </w:pPr>
      <w:r>
        <w:rPr>
          <w:rStyle w:val="FootnoteReference"/>
        </w:rPr>
        <w:footnoteRef/>
      </w:r>
      <w:r>
        <w:t xml:space="preserve"> </w:t>
      </w:r>
      <w:r>
        <w:rPr>
          <w:rFonts w:eastAsia="Times New Roman" w:cstheme="minorHAnsi"/>
        </w:rPr>
        <w:t>The</w:t>
      </w:r>
      <w:r w:rsidRPr="0018187A">
        <w:rPr>
          <w:rFonts w:eastAsia="Times New Roman" w:cstheme="minorHAnsi"/>
        </w:rPr>
        <w:t xml:space="preserve"> number of all firms (DBE and non-DBE) in the market area for each NAICS code from the 20</w:t>
      </w:r>
      <w:r>
        <w:rPr>
          <w:rFonts w:eastAsia="Times New Roman" w:cstheme="minorHAnsi"/>
        </w:rPr>
        <w:t>2</w:t>
      </w:r>
      <w:r w:rsidR="002853D6">
        <w:rPr>
          <w:rFonts w:eastAsia="Times New Roman" w:cstheme="minorHAnsi"/>
        </w:rPr>
        <w:t>1</w:t>
      </w:r>
      <w:r w:rsidRPr="0018187A">
        <w:rPr>
          <w:rFonts w:eastAsia="Times New Roman" w:cstheme="minorHAnsi"/>
        </w:rPr>
        <w:t xml:space="preserve"> U.S. Census Bureau County Business Patterns Database.</w:t>
      </w:r>
    </w:p>
  </w:footnote>
  <w:footnote w:id="14">
    <w:p w14:paraId="6EE31790" w14:textId="77777777" w:rsidR="00A04400" w:rsidRDefault="00A04400" w:rsidP="00A04400">
      <w:pPr>
        <w:pStyle w:val="FootnoteText"/>
      </w:pPr>
      <w:r>
        <w:rPr>
          <w:rStyle w:val="FootnoteReference"/>
        </w:rPr>
        <w:footnoteRef/>
      </w:r>
      <w:r>
        <w:t xml:space="preserve"> </w:t>
      </w:r>
      <w:r w:rsidRPr="0018187A">
        <w:rPr>
          <w:rFonts w:eastAsia="Times New Roman" w:cstheme="minorHAnsi"/>
        </w:rPr>
        <w:t>The number of DBEs divided by the number of all firms</w:t>
      </w:r>
      <w:r>
        <w:rPr>
          <w:rFonts w:eastAsia="Times New Roman" w:cstheme="minorHAnsi"/>
        </w:rPr>
        <w:t>.</w:t>
      </w:r>
    </w:p>
  </w:footnote>
  <w:footnote w:id="15">
    <w:p w14:paraId="190BF30A" w14:textId="77777777" w:rsidR="00A04400" w:rsidRPr="00D50C12" w:rsidRDefault="00A04400" w:rsidP="00A04400">
      <w:pPr>
        <w:pStyle w:val="FootnoteText"/>
        <w:rPr>
          <w:sz w:val="22"/>
          <w:szCs w:val="22"/>
        </w:rPr>
      </w:pPr>
      <w:r>
        <w:rPr>
          <w:rStyle w:val="FootnoteReference"/>
        </w:rPr>
        <w:footnoteRef/>
      </w:r>
      <w:r>
        <w:t xml:space="preserve"> </w:t>
      </w:r>
      <w:r w:rsidRPr="00D50C12">
        <w:rPr>
          <w:rFonts w:cstheme="minorHAnsi"/>
        </w:rPr>
        <w:t>From Table 3</w:t>
      </w:r>
    </w:p>
  </w:footnote>
  <w:footnote w:id="16">
    <w:p w14:paraId="7A7786B1" w14:textId="77777777" w:rsidR="00A04400" w:rsidRPr="00D50C12" w:rsidRDefault="00A04400" w:rsidP="00A04400">
      <w:pPr>
        <w:pStyle w:val="FootnoteText"/>
        <w:rPr>
          <w:sz w:val="22"/>
          <w:szCs w:val="22"/>
        </w:rPr>
      </w:pPr>
      <w:r>
        <w:rPr>
          <w:rStyle w:val="FootnoteReference"/>
        </w:rPr>
        <w:footnoteRef/>
      </w:r>
      <w:r>
        <w:t xml:space="preserve"> </w:t>
      </w:r>
      <w:r w:rsidRPr="00D50C12">
        <w:rPr>
          <w:rFonts w:cstheme="minorHAnsi"/>
        </w:rPr>
        <w:t>From Table 4</w:t>
      </w:r>
    </w:p>
  </w:footnote>
  <w:footnote w:id="17">
    <w:p w14:paraId="5677401E" w14:textId="77777777" w:rsidR="00A04400" w:rsidRDefault="00A04400" w:rsidP="00A04400">
      <w:pPr>
        <w:pStyle w:val="FootnoteText"/>
      </w:pPr>
      <w:r>
        <w:rPr>
          <w:rStyle w:val="FootnoteReference"/>
        </w:rPr>
        <w:footnoteRef/>
      </w:r>
      <w:r>
        <w:t xml:space="preserve"> </w:t>
      </w:r>
      <w:r w:rsidRPr="00003FA2">
        <w:rPr>
          <w:rFonts w:cstheme="minorHAnsi"/>
        </w:rPr>
        <w:t xml:space="preserve">The </w:t>
      </w:r>
      <w:r>
        <w:rPr>
          <w:rFonts w:cstheme="minorHAnsi"/>
        </w:rPr>
        <w:t>NAICS weight multiplied by the relative availability.</w:t>
      </w:r>
    </w:p>
  </w:footnote>
  <w:footnote w:id="18">
    <w:p w14:paraId="04C246D0" w14:textId="3F0055DD" w:rsidR="00D50C12" w:rsidRPr="00587AA8" w:rsidRDefault="00D50C12" w:rsidP="00D50C12">
      <w:pPr>
        <w:pStyle w:val="FootnoteText"/>
        <w:ind w:left="180" w:hanging="180"/>
      </w:pPr>
      <w:r>
        <w:rPr>
          <w:rStyle w:val="FootnoteReference"/>
        </w:rPr>
        <w:footnoteRef/>
      </w:r>
      <w:r>
        <w:t xml:space="preserve"> </w:t>
      </w:r>
      <w:r w:rsidRPr="00587AA8">
        <w:rPr>
          <w:rFonts w:eastAsia="Times New Roman" w:cstheme="minorHAnsi"/>
        </w:rPr>
        <w:t>The F</w:t>
      </w:r>
      <w:r w:rsidR="00333A16">
        <w:rPr>
          <w:rFonts w:eastAsia="Times New Roman" w:cstheme="minorHAnsi"/>
        </w:rPr>
        <w:t>T</w:t>
      </w:r>
      <w:r w:rsidRPr="00587AA8">
        <w:rPr>
          <w:rFonts w:eastAsia="Times New Roman" w:cstheme="minorHAnsi"/>
        </w:rPr>
        <w:t xml:space="preserve">A DBE Goal percentage for </w:t>
      </w:r>
      <w:r>
        <w:rPr>
          <w:rFonts w:eastAsia="Times New Roman" w:cstheme="minorHAnsi"/>
        </w:rPr>
        <w:t>each Federal Fiscal Year.</w:t>
      </w:r>
    </w:p>
  </w:footnote>
  <w:footnote w:id="19">
    <w:p w14:paraId="2C234A1E" w14:textId="77777777" w:rsidR="00D50C12" w:rsidRDefault="00D50C12" w:rsidP="00D50C12">
      <w:pPr>
        <w:pStyle w:val="FootnoteText"/>
      </w:pPr>
      <w:r>
        <w:rPr>
          <w:rStyle w:val="FootnoteReference"/>
        </w:rPr>
        <w:footnoteRef/>
      </w:r>
      <w:r>
        <w:t xml:space="preserve"> </w:t>
      </w:r>
      <w:r w:rsidRPr="002232FD">
        <w:rPr>
          <w:rFonts w:cstheme="minorHAnsi"/>
        </w:rPr>
        <w:t>From Table 5.</w:t>
      </w:r>
    </w:p>
  </w:footnote>
  <w:footnote w:id="20">
    <w:p w14:paraId="60DF2F59" w14:textId="77777777" w:rsidR="00D50C12" w:rsidRDefault="00D50C12" w:rsidP="00D50C12">
      <w:pPr>
        <w:pStyle w:val="FootnoteText"/>
      </w:pPr>
      <w:r>
        <w:rPr>
          <w:rStyle w:val="FootnoteReference"/>
        </w:rPr>
        <w:footnoteRef/>
      </w:r>
      <w:r>
        <w:t xml:space="preserve"> </w:t>
      </w:r>
      <w:r w:rsidRPr="002232FD">
        <w:rPr>
          <w:rFonts w:cstheme="minorHAnsi"/>
        </w:rPr>
        <w:t>From Table 6.</w:t>
      </w:r>
    </w:p>
  </w:footnote>
  <w:footnote w:id="21">
    <w:p w14:paraId="6D2849FD" w14:textId="4DD68A66" w:rsidR="00D50C12" w:rsidRPr="002232FD" w:rsidRDefault="00D50C12" w:rsidP="00D50C12">
      <w:pPr>
        <w:pStyle w:val="FootnoteText"/>
        <w:rPr>
          <w:rFonts w:cstheme="minorHAnsi"/>
        </w:rPr>
      </w:pPr>
      <w:r>
        <w:rPr>
          <w:rStyle w:val="FootnoteReference"/>
        </w:rPr>
        <w:footnoteRef/>
      </w:r>
      <w:r>
        <w:t xml:space="preserve"> </w:t>
      </w:r>
      <w:r>
        <w:rPr>
          <w:rFonts w:cstheme="minorHAnsi"/>
        </w:rPr>
        <w:t xml:space="preserve">The average of the Base figure and the median DBE </w:t>
      </w:r>
      <w:r w:rsidRPr="008C03E0">
        <w:rPr>
          <w:rFonts w:cstheme="minorHAnsi"/>
        </w:rPr>
        <w:t>attainment [(</w:t>
      </w:r>
      <w:r w:rsidR="008C03E0" w:rsidRPr="008C03E0">
        <w:rPr>
          <w:rFonts w:cstheme="minorHAnsi"/>
        </w:rPr>
        <w:t>3.5</w:t>
      </w:r>
      <w:r w:rsidRPr="008C03E0">
        <w:rPr>
          <w:rFonts w:cstheme="minorHAnsi"/>
        </w:rPr>
        <w:t xml:space="preserve">% + </w:t>
      </w:r>
      <w:r w:rsidR="008C03E0" w:rsidRPr="008C03E0">
        <w:rPr>
          <w:rFonts w:cstheme="minorHAnsi"/>
        </w:rPr>
        <w:t>1.3</w:t>
      </w:r>
      <w:r w:rsidRPr="008C03E0">
        <w:rPr>
          <w:rFonts w:cstheme="minorHAnsi"/>
        </w:rPr>
        <w:t>%) ÷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F6C3" w14:textId="77777777" w:rsidR="00884D07" w:rsidRDefault="00884D07" w:rsidP="00884D07">
    <w:pPr>
      <w:tabs>
        <w:tab w:val="right" w:pos="10080"/>
      </w:tabs>
      <w:ind w:left="900"/>
      <w:rPr>
        <w:rFonts w:cstheme="minorHAnsi"/>
        <w:i/>
        <w:sz w:val="16"/>
      </w:rPr>
    </w:pPr>
    <w:r>
      <w:rPr>
        <w:noProof/>
      </w:rPr>
      <w:drawing>
        <wp:anchor distT="0" distB="0" distL="114300" distR="114300" simplePos="0" relativeHeight="251659776" behindDoc="0" locked="0" layoutInCell="1" allowOverlap="1" wp14:anchorId="72A3152A" wp14:editId="756FE08B">
          <wp:simplePos x="0" y="0"/>
          <wp:positionH relativeFrom="column">
            <wp:posOffset>0</wp:posOffset>
          </wp:positionH>
          <wp:positionV relativeFrom="paragraph">
            <wp:posOffset>19050</wp:posOffset>
          </wp:positionV>
          <wp:extent cx="447675" cy="447675"/>
          <wp:effectExtent l="0" t="0" r="9525" b="9525"/>
          <wp:wrapNone/>
          <wp:docPr id="1597021" name="Picture 15970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3599A" w14:textId="77777777" w:rsidR="00884D07" w:rsidRDefault="00884D07" w:rsidP="00884D07">
    <w:pPr>
      <w:tabs>
        <w:tab w:val="right" w:pos="10080"/>
      </w:tabs>
      <w:ind w:left="900"/>
      <w:rPr>
        <w:rFonts w:cstheme="minorHAnsi"/>
        <w:i/>
        <w:sz w:val="16"/>
      </w:rPr>
    </w:pPr>
    <w:r>
      <w:rPr>
        <w:rFonts w:cstheme="minorHAnsi"/>
        <w:i/>
        <w:sz w:val="16"/>
      </w:rPr>
      <w:t>Unitrans FTA DBE Goal Methodology FFY 2024-2026</w:t>
    </w:r>
    <w:r>
      <w:rPr>
        <w:rFonts w:cstheme="minorHAnsi"/>
        <w:i/>
        <w:sz w:val="16"/>
      </w:rPr>
      <w:tab/>
    </w:r>
    <w:r w:rsidRPr="00C21AE9">
      <w:rPr>
        <w:rFonts w:cstheme="minorHAnsi"/>
        <w:i/>
        <w:sz w:val="16"/>
      </w:rPr>
      <w:t xml:space="preserve">Page </w:t>
    </w:r>
    <w:r w:rsidRPr="00C21AE9">
      <w:rPr>
        <w:rFonts w:cstheme="minorHAnsi"/>
        <w:i/>
        <w:sz w:val="16"/>
      </w:rPr>
      <w:fldChar w:fldCharType="begin"/>
    </w:r>
    <w:r w:rsidRPr="00C21AE9">
      <w:rPr>
        <w:rFonts w:cstheme="minorHAnsi"/>
        <w:i/>
        <w:sz w:val="16"/>
      </w:rPr>
      <w:instrText xml:space="preserve"> PAGE </w:instrText>
    </w:r>
    <w:r w:rsidRPr="00C21AE9">
      <w:rPr>
        <w:rFonts w:cstheme="minorHAnsi"/>
        <w:i/>
        <w:sz w:val="16"/>
      </w:rPr>
      <w:fldChar w:fldCharType="separate"/>
    </w:r>
    <w:r>
      <w:rPr>
        <w:rFonts w:cstheme="minorHAnsi"/>
        <w:i/>
        <w:sz w:val="16"/>
      </w:rPr>
      <w:t>1</w:t>
    </w:r>
    <w:r w:rsidRPr="00C21AE9">
      <w:rPr>
        <w:rFonts w:cstheme="minorHAnsi"/>
        <w:i/>
        <w:sz w:val="16"/>
      </w:rPr>
      <w:fldChar w:fldCharType="end"/>
    </w:r>
    <w:r w:rsidRPr="00C21AE9">
      <w:rPr>
        <w:rFonts w:cstheme="minorHAnsi"/>
        <w:i/>
        <w:sz w:val="16"/>
      </w:rPr>
      <w:t xml:space="preserve"> of </w:t>
    </w:r>
    <w:r w:rsidRPr="00C21AE9">
      <w:rPr>
        <w:rFonts w:cstheme="minorHAnsi"/>
        <w:i/>
        <w:sz w:val="16"/>
      </w:rPr>
      <w:fldChar w:fldCharType="begin"/>
    </w:r>
    <w:r w:rsidRPr="00C21AE9">
      <w:rPr>
        <w:rFonts w:cstheme="minorHAnsi"/>
        <w:i/>
        <w:sz w:val="16"/>
      </w:rPr>
      <w:instrText xml:space="preserve"> NUMPAGES </w:instrText>
    </w:r>
    <w:r w:rsidRPr="00C21AE9">
      <w:rPr>
        <w:rFonts w:cstheme="minorHAnsi"/>
        <w:i/>
        <w:sz w:val="16"/>
      </w:rPr>
      <w:fldChar w:fldCharType="separate"/>
    </w:r>
    <w:r>
      <w:rPr>
        <w:rFonts w:cstheme="minorHAnsi"/>
        <w:i/>
        <w:sz w:val="16"/>
      </w:rPr>
      <w:t>11</w:t>
    </w:r>
    <w:r w:rsidRPr="00C21AE9">
      <w:rPr>
        <w:rFonts w:cstheme="minorHAnsi"/>
        <w:i/>
        <w:sz w:val="16"/>
      </w:rPr>
      <w:fldChar w:fldCharType="end"/>
    </w:r>
  </w:p>
  <w:p w14:paraId="011B4D7F" w14:textId="77777777" w:rsidR="00884D07" w:rsidRDefault="00884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126E"/>
    <w:multiLevelType w:val="hybridMultilevel"/>
    <w:tmpl w:val="5226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400D82"/>
    <w:multiLevelType w:val="hybridMultilevel"/>
    <w:tmpl w:val="B6767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C23B3B"/>
    <w:multiLevelType w:val="hybridMultilevel"/>
    <w:tmpl w:val="22FC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B624B"/>
    <w:multiLevelType w:val="hybridMultilevel"/>
    <w:tmpl w:val="23E0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C68C9"/>
    <w:multiLevelType w:val="hybridMultilevel"/>
    <w:tmpl w:val="32541106"/>
    <w:lvl w:ilvl="0" w:tplc="99F86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9B460D"/>
    <w:multiLevelType w:val="hybridMultilevel"/>
    <w:tmpl w:val="226E454A"/>
    <w:lvl w:ilvl="0" w:tplc="7E9CA6AA">
      <w:start w:val="1"/>
      <w:numFmt w:val="upperLetter"/>
      <w:pStyle w:val="Heading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81245A3"/>
    <w:multiLevelType w:val="multilevel"/>
    <w:tmpl w:val="0B5AC6D2"/>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68414BF4"/>
    <w:multiLevelType w:val="hybridMultilevel"/>
    <w:tmpl w:val="BE4019EA"/>
    <w:lvl w:ilvl="0" w:tplc="47C6F9E8">
      <w:start w:val="3"/>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B709A0"/>
    <w:multiLevelType w:val="hybridMultilevel"/>
    <w:tmpl w:val="BF0810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3038939">
    <w:abstractNumId w:val="8"/>
  </w:num>
  <w:num w:numId="2" w16cid:durableId="446244692">
    <w:abstractNumId w:val="6"/>
  </w:num>
  <w:num w:numId="3" w16cid:durableId="2109807250">
    <w:abstractNumId w:val="0"/>
  </w:num>
  <w:num w:numId="4" w16cid:durableId="108858683">
    <w:abstractNumId w:val="7"/>
  </w:num>
  <w:num w:numId="5" w16cid:durableId="273907440">
    <w:abstractNumId w:val="0"/>
  </w:num>
  <w:num w:numId="6" w16cid:durableId="991642101">
    <w:abstractNumId w:val="5"/>
  </w:num>
  <w:num w:numId="7" w16cid:durableId="2074042221">
    <w:abstractNumId w:val="3"/>
  </w:num>
  <w:num w:numId="8" w16cid:durableId="584647866">
    <w:abstractNumId w:val="6"/>
  </w:num>
  <w:num w:numId="9" w16cid:durableId="1460223188">
    <w:abstractNumId w:val="6"/>
  </w:num>
  <w:num w:numId="10" w16cid:durableId="789978001">
    <w:abstractNumId w:val="1"/>
  </w:num>
  <w:num w:numId="11" w16cid:durableId="1399283091">
    <w:abstractNumId w:val="2"/>
  </w:num>
  <w:num w:numId="12" w16cid:durableId="17407125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084009">
    <w:abstractNumId w:val="6"/>
  </w:num>
  <w:num w:numId="14" w16cid:durableId="1492410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93"/>
    <w:rsid w:val="00000298"/>
    <w:rsid w:val="000057B6"/>
    <w:rsid w:val="00007B73"/>
    <w:rsid w:val="00035683"/>
    <w:rsid w:val="00040800"/>
    <w:rsid w:val="00053EA8"/>
    <w:rsid w:val="00091EC9"/>
    <w:rsid w:val="00095275"/>
    <w:rsid w:val="00097C8D"/>
    <w:rsid w:val="000A057B"/>
    <w:rsid w:val="000A164B"/>
    <w:rsid w:val="000A3B5C"/>
    <w:rsid w:val="000B663E"/>
    <w:rsid w:val="000C1E75"/>
    <w:rsid w:val="000E7822"/>
    <w:rsid w:val="000F0706"/>
    <w:rsid w:val="000F7A23"/>
    <w:rsid w:val="00101434"/>
    <w:rsid w:val="00110F75"/>
    <w:rsid w:val="00117F1F"/>
    <w:rsid w:val="001317FC"/>
    <w:rsid w:val="00162CE9"/>
    <w:rsid w:val="00163BD2"/>
    <w:rsid w:val="00164EDB"/>
    <w:rsid w:val="001675E6"/>
    <w:rsid w:val="00167731"/>
    <w:rsid w:val="00170B3A"/>
    <w:rsid w:val="0017134D"/>
    <w:rsid w:val="0017262E"/>
    <w:rsid w:val="00181493"/>
    <w:rsid w:val="00187A20"/>
    <w:rsid w:val="00195BF2"/>
    <w:rsid w:val="001A0439"/>
    <w:rsid w:val="001A0B56"/>
    <w:rsid w:val="001A0D24"/>
    <w:rsid w:val="001A127D"/>
    <w:rsid w:val="001A28BA"/>
    <w:rsid w:val="001B14D5"/>
    <w:rsid w:val="001B47CF"/>
    <w:rsid w:val="001B656D"/>
    <w:rsid w:val="001C29BE"/>
    <w:rsid w:val="001C414E"/>
    <w:rsid w:val="001C7A92"/>
    <w:rsid w:val="001C7BF0"/>
    <w:rsid w:val="001D14C2"/>
    <w:rsid w:val="001D6427"/>
    <w:rsid w:val="001D6BA1"/>
    <w:rsid w:val="001D765A"/>
    <w:rsid w:val="002033DD"/>
    <w:rsid w:val="002157D8"/>
    <w:rsid w:val="00246417"/>
    <w:rsid w:val="00246A5B"/>
    <w:rsid w:val="0025721B"/>
    <w:rsid w:val="0026547C"/>
    <w:rsid w:val="00265FAB"/>
    <w:rsid w:val="00275396"/>
    <w:rsid w:val="0028458B"/>
    <w:rsid w:val="002853D6"/>
    <w:rsid w:val="00287B3C"/>
    <w:rsid w:val="002B1E6F"/>
    <w:rsid w:val="002C3A9F"/>
    <w:rsid w:val="002C5D4A"/>
    <w:rsid w:val="002D04AF"/>
    <w:rsid w:val="002E27A0"/>
    <w:rsid w:val="002E2E39"/>
    <w:rsid w:val="002F2A38"/>
    <w:rsid w:val="002F2D7F"/>
    <w:rsid w:val="002F5FBB"/>
    <w:rsid w:val="002F7FA3"/>
    <w:rsid w:val="003020DE"/>
    <w:rsid w:val="00303E58"/>
    <w:rsid w:val="003163C7"/>
    <w:rsid w:val="003202A2"/>
    <w:rsid w:val="00324866"/>
    <w:rsid w:val="00333A16"/>
    <w:rsid w:val="00344CE8"/>
    <w:rsid w:val="00351BFF"/>
    <w:rsid w:val="003624C1"/>
    <w:rsid w:val="00367BBD"/>
    <w:rsid w:val="00377F64"/>
    <w:rsid w:val="003961AA"/>
    <w:rsid w:val="003A50CF"/>
    <w:rsid w:val="003C4CEE"/>
    <w:rsid w:val="003D01A8"/>
    <w:rsid w:val="003D113D"/>
    <w:rsid w:val="003D144E"/>
    <w:rsid w:val="003D1687"/>
    <w:rsid w:val="003D3388"/>
    <w:rsid w:val="003D63AB"/>
    <w:rsid w:val="00401753"/>
    <w:rsid w:val="004026C1"/>
    <w:rsid w:val="00406934"/>
    <w:rsid w:val="00407DCC"/>
    <w:rsid w:val="004149DA"/>
    <w:rsid w:val="004154A8"/>
    <w:rsid w:val="0042107E"/>
    <w:rsid w:val="00422ECB"/>
    <w:rsid w:val="00422F80"/>
    <w:rsid w:val="00431A20"/>
    <w:rsid w:val="00433F7C"/>
    <w:rsid w:val="004341ED"/>
    <w:rsid w:val="00440A01"/>
    <w:rsid w:val="004663F1"/>
    <w:rsid w:val="00482719"/>
    <w:rsid w:val="0048495F"/>
    <w:rsid w:val="004865E2"/>
    <w:rsid w:val="00487DCF"/>
    <w:rsid w:val="00490CDB"/>
    <w:rsid w:val="004A7256"/>
    <w:rsid w:val="004B1D26"/>
    <w:rsid w:val="004B3931"/>
    <w:rsid w:val="004C0EB9"/>
    <w:rsid w:val="004C3142"/>
    <w:rsid w:val="004C5CEC"/>
    <w:rsid w:val="004D0C2A"/>
    <w:rsid w:val="004F16AB"/>
    <w:rsid w:val="004F5511"/>
    <w:rsid w:val="004F6375"/>
    <w:rsid w:val="004F68E1"/>
    <w:rsid w:val="00502D61"/>
    <w:rsid w:val="0051080C"/>
    <w:rsid w:val="005154E7"/>
    <w:rsid w:val="00517A66"/>
    <w:rsid w:val="005317B1"/>
    <w:rsid w:val="0053341F"/>
    <w:rsid w:val="00537C8C"/>
    <w:rsid w:val="00540444"/>
    <w:rsid w:val="00540F63"/>
    <w:rsid w:val="00554432"/>
    <w:rsid w:val="005550E8"/>
    <w:rsid w:val="00560E53"/>
    <w:rsid w:val="005639EA"/>
    <w:rsid w:val="005712DD"/>
    <w:rsid w:val="00585971"/>
    <w:rsid w:val="0059410E"/>
    <w:rsid w:val="00597E39"/>
    <w:rsid w:val="005A0C48"/>
    <w:rsid w:val="005B3DED"/>
    <w:rsid w:val="005E35E0"/>
    <w:rsid w:val="005E48C9"/>
    <w:rsid w:val="005F1EC9"/>
    <w:rsid w:val="00611199"/>
    <w:rsid w:val="00612EE9"/>
    <w:rsid w:val="00615308"/>
    <w:rsid w:val="00617006"/>
    <w:rsid w:val="00621076"/>
    <w:rsid w:val="006227D7"/>
    <w:rsid w:val="00624F55"/>
    <w:rsid w:val="00625325"/>
    <w:rsid w:val="00632235"/>
    <w:rsid w:val="00666901"/>
    <w:rsid w:val="006750AB"/>
    <w:rsid w:val="006767AF"/>
    <w:rsid w:val="006813CE"/>
    <w:rsid w:val="00684C61"/>
    <w:rsid w:val="006A1890"/>
    <w:rsid w:val="006A18C9"/>
    <w:rsid w:val="006B7C74"/>
    <w:rsid w:val="006C5DB4"/>
    <w:rsid w:val="006E4C0A"/>
    <w:rsid w:val="00704AE1"/>
    <w:rsid w:val="00712206"/>
    <w:rsid w:val="007210CE"/>
    <w:rsid w:val="00735318"/>
    <w:rsid w:val="00735398"/>
    <w:rsid w:val="00746A0B"/>
    <w:rsid w:val="00754BAA"/>
    <w:rsid w:val="00770B6E"/>
    <w:rsid w:val="00776651"/>
    <w:rsid w:val="007836A5"/>
    <w:rsid w:val="00792C7D"/>
    <w:rsid w:val="007964D9"/>
    <w:rsid w:val="00797D97"/>
    <w:rsid w:val="007D043B"/>
    <w:rsid w:val="007D1304"/>
    <w:rsid w:val="007D236B"/>
    <w:rsid w:val="007E6C5D"/>
    <w:rsid w:val="007F4E23"/>
    <w:rsid w:val="00800EA1"/>
    <w:rsid w:val="00804900"/>
    <w:rsid w:val="00811FD7"/>
    <w:rsid w:val="00832F11"/>
    <w:rsid w:val="008642B2"/>
    <w:rsid w:val="008738FB"/>
    <w:rsid w:val="00875975"/>
    <w:rsid w:val="00876D62"/>
    <w:rsid w:val="00884D07"/>
    <w:rsid w:val="00891A40"/>
    <w:rsid w:val="008948A7"/>
    <w:rsid w:val="00897B69"/>
    <w:rsid w:val="008A293F"/>
    <w:rsid w:val="008A450C"/>
    <w:rsid w:val="008B208B"/>
    <w:rsid w:val="008B2D63"/>
    <w:rsid w:val="008C03E0"/>
    <w:rsid w:val="008C4A58"/>
    <w:rsid w:val="008E1EEF"/>
    <w:rsid w:val="008F05AD"/>
    <w:rsid w:val="008F5798"/>
    <w:rsid w:val="009158F4"/>
    <w:rsid w:val="00931D46"/>
    <w:rsid w:val="009364A9"/>
    <w:rsid w:val="00947105"/>
    <w:rsid w:val="0095573F"/>
    <w:rsid w:val="00957786"/>
    <w:rsid w:val="00960A1C"/>
    <w:rsid w:val="0096209A"/>
    <w:rsid w:val="00974E5C"/>
    <w:rsid w:val="00990C40"/>
    <w:rsid w:val="009A015A"/>
    <w:rsid w:val="009A0647"/>
    <w:rsid w:val="009A6961"/>
    <w:rsid w:val="009B72B1"/>
    <w:rsid w:val="009D0A52"/>
    <w:rsid w:val="009E01FD"/>
    <w:rsid w:val="009F182E"/>
    <w:rsid w:val="009F21D5"/>
    <w:rsid w:val="00A04017"/>
    <w:rsid w:val="00A04400"/>
    <w:rsid w:val="00A24088"/>
    <w:rsid w:val="00A244F2"/>
    <w:rsid w:val="00A37683"/>
    <w:rsid w:val="00A456A5"/>
    <w:rsid w:val="00A47BE3"/>
    <w:rsid w:val="00A5480C"/>
    <w:rsid w:val="00A7385E"/>
    <w:rsid w:val="00A85600"/>
    <w:rsid w:val="00A90C4A"/>
    <w:rsid w:val="00AB0E27"/>
    <w:rsid w:val="00AC5041"/>
    <w:rsid w:val="00AF6C52"/>
    <w:rsid w:val="00B00780"/>
    <w:rsid w:val="00B07982"/>
    <w:rsid w:val="00B1037F"/>
    <w:rsid w:val="00B16623"/>
    <w:rsid w:val="00B575AE"/>
    <w:rsid w:val="00B60A2D"/>
    <w:rsid w:val="00B656BA"/>
    <w:rsid w:val="00B7324E"/>
    <w:rsid w:val="00B87365"/>
    <w:rsid w:val="00B90302"/>
    <w:rsid w:val="00BA7ED1"/>
    <w:rsid w:val="00BD10CA"/>
    <w:rsid w:val="00BD30A5"/>
    <w:rsid w:val="00BD63E7"/>
    <w:rsid w:val="00BF3EF4"/>
    <w:rsid w:val="00C35BE5"/>
    <w:rsid w:val="00C419B8"/>
    <w:rsid w:val="00C6172B"/>
    <w:rsid w:val="00C65066"/>
    <w:rsid w:val="00C73C6D"/>
    <w:rsid w:val="00C80245"/>
    <w:rsid w:val="00C80669"/>
    <w:rsid w:val="00C85B53"/>
    <w:rsid w:val="00C91387"/>
    <w:rsid w:val="00C91CA4"/>
    <w:rsid w:val="00C9405C"/>
    <w:rsid w:val="00C9448D"/>
    <w:rsid w:val="00CA70D0"/>
    <w:rsid w:val="00CC0578"/>
    <w:rsid w:val="00CD1374"/>
    <w:rsid w:val="00CE1A0A"/>
    <w:rsid w:val="00CE3C1A"/>
    <w:rsid w:val="00CF3989"/>
    <w:rsid w:val="00D42E08"/>
    <w:rsid w:val="00D50C12"/>
    <w:rsid w:val="00D520EF"/>
    <w:rsid w:val="00D64511"/>
    <w:rsid w:val="00D64C25"/>
    <w:rsid w:val="00D74A8C"/>
    <w:rsid w:val="00D7625F"/>
    <w:rsid w:val="00D92DF2"/>
    <w:rsid w:val="00D94982"/>
    <w:rsid w:val="00DA28D1"/>
    <w:rsid w:val="00DB2254"/>
    <w:rsid w:val="00DC10E0"/>
    <w:rsid w:val="00DC324A"/>
    <w:rsid w:val="00DC5657"/>
    <w:rsid w:val="00DF1B78"/>
    <w:rsid w:val="00E000C5"/>
    <w:rsid w:val="00E07F8A"/>
    <w:rsid w:val="00E179CC"/>
    <w:rsid w:val="00E34CF7"/>
    <w:rsid w:val="00E34EC1"/>
    <w:rsid w:val="00E368D9"/>
    <w:rsid w:val="00E42C72"/>
    <w:rsid w:val="00E449E3"/>
    <w:rsid w:val="00E44AFA"/>
    <w:rsid w:val="00E50F14"/>
    <w:rsid w:val="00E60CC3"/>
    <w:rsid w:val="00E661C3"/>
    <w:rsid w:val="00E6638B"/>
    <w:rsid w:val="00E87D32"/>
    <w:rsid w:val="00E96F89"/>
    <w:rsid w:val="00EA735F"/>
    <w:rsid w:val="00EB25AA"/>
    <w:rsid w:val="00EC7247"/>
    <w:rsid w:val="00ED52A0"/>
    <w:rsid w:val="00ED6F14"/>
    <w:rsid w:val="00EE5614"/>
    <w:rsid w:val="00EF0CC0"/>
    <w:rsid w:val="00F04681"/>
    <w:rsid w:val="00F04760"/>
    <w:rsid w:val="00F21D3C"/>
    <w:rsid w:val="00F22BDF"/>
    <w:rsid w:val="00F326DC"/>
    <w:rsid w:val="00F456F1"/>
    <w:rsid w:val="00F65780"/>
    <w:rsid w:val="00F65E50"/>
    <w:rsid w:val="00F6602D"/>
    <w:rsid w:val="00F72867"/>
    <w:rsid w:val="00F73FB0"/>
    <w:rsid w:val="00F86ED2"/>
    <w:rsid w:val="00F92C3F"/>
    <w:rsid w:val="00FE0850"/>
    <w:rsid w:val="00FE7E83"/>
    <w:rsid w:val="00FF50BF"/>
    <w:rsid w:val="00FF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B2DFF"/>
  <w15:chartTrackingRefBased/>
  <w15:docId w15:val="{B0CA564C-64C3-4319-920D-11985218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57B"/>
    <w:pPr>
      <w:spacing w:after="120" w:line="240" w:lineRule="auto"/>
    </w:pPr>
  </w:style>
  <w:style w:type="paragraph" w:styleId="Heading1">
    <w:name w:val="heading 1"/>
    <w:basedOn w:val="Normal"/>
    <w:next w:val="Normal"/>
    <w:link w:val="Heading1Char"/>
    <w:uiPriority w:val="9"/>
    <w:qFormat/>
    <w:rsid w:val="006E4C0A"/>
    <w:pPr>
      <w:keepNext/>
      <w:keepLines/>
      <w:numPr>
        <w:numId w:val="2"/>
      </w:numPr>
      <w:shd w:val="clear" w:color="auto" w:fill="444444" w:themeFill="text1"/>
      <w:spacing w:before="240" w:after="0"/>
      <w:outlineLvl w:val="0"/>
    </w:pPr>
    <w:rPr>
      <w:rFonts w:asciiTheme="majorHAnsi" w:eastAsiaTheme="majorEastAsia" w:hAnsiTheme="majorHAnsi" w:cstheme="majorBidi"/>
      <w:b/>
      <w:color w:val="FFFFFF" w:themeColor="background1"/>
      <w:sz w:val="28"/>
      <w:szCs w:val="32"/>
    </w:rPr>
  </w:style>
  <w:style w:type="paragraph" w:styleId="Heading2">
    <w:name w:val="heading 2"/>
    <w:basedOn w:val="Normal"/>
    <w:next w:val="Normal"/>
    <w:link w:val="Heading2Char"/>
    <w:uiPriority w:val="9"/>
    <w:unhideWhenUsed/>
    <w:qFormat/>
    <w:rsid w:val="005A0C48"/>
    <w:pPr>
      <w:keepNext/>
      <w:keepLines/>
      <w:spacing w:before="120" w:after="60"/>
      <w:outlineLvl w:val="1"/>
    </w:pPr>
    <w:rPr>
      <w:rFonts w:asciiTheme="majorHAnsi" w:eastAsiaTheme="majorEastAsia" w:hAnsiTheme="majorHAnsi" w:cstheme="majorBidi"/>
      <w:b/>
      <w:color w:val="89233B" w:themeColor="accent6"/>
      <w:sz w:val="24"/>
      <w:szCs w:val="26"/>
    </w:rPr>
  </w:style>
  <w:style w:type="paragraph" w:styleId="Heading3">
    <w:name w:val="heading 3"/>
    <w:basedOn w:val="Normal"/>
    <w:next w:val="Normal"/>
    <w:link w:val="Heading3Char"/>
    <w:uiPriority w:val="9"/>
    <w:unhideWhenUsed/>
    <w:qFormat/>
    <w:rsid w:val="00433F7C"/>
    <w:pPr>
      <w:keepNext/>
      <w:keepLines/>
      <w:numPr>
        <w:numId w:val="6"/>
      </w:numPr>
      <w:spacing w:before="40" w:after="0"/>
      <w:ind w:left="360"/>
      <w:outlineLvl w:val="2"/>
    </w:pPr>
    <w:rPr>
      <w:rFonts w:asciiTheme="majorHAnsi" w:eastAsia="Times New Roman" w:hAnsiTheme="majorHAnsi" w:cstheme="majorBidi"/>
      <w:b/>
      <w:color w:val="323232" w:themeColor="text1" w:themeShade="BF"/>
      <w:sz w:val="24"/>
      <w:szCs w:val="24"/>
      <w:u w:val="single"/>
    </w:rPr>
  </w:style>
  <w:style w:type="paragraph" w:styleId="Heading4">
    <w:name w:val="heading 4"/>
    <w:basedOn w:val="Normal"/>
    <w:next w:val="Normal"/>
    <w:link w:val="Heading4Char"/>
    <w:uiPriority w:val="9"/>
    <w:semiHidden/>
    <w:unhideWhenUsed/>
    <w:qFormat/>
    <w:rsid w:val="0048495F"/>
    <w:pPr>
      <w:keepNext/>
      <w:keepLines/>
      <w:numPr>
        <w:ilvl w:val="3"/>
        <w:numId w:val="2"/>
      </w:numPr>
      <w:spacing w:before="40" w:after="0"/>
      <w:outlineLvl w:val="3"/>
    </w:pPr>
    <w:rPr>
      <w:rFonts w:asciiTheme="majorHAnsi" w:eastAsiaTheme="majorEastAsia" w:hAnsiTheme="majorHAnsi" w:cstheme="majorBidi"/>
      <w:i/>
      <w:iCs/>
      <w:color w:val="1A0F57" w:themeColor="accent1" w:themeShade="BF"/>
    </w:rPr>
  </w:style>
  <w:style w:type="paragraph" w:styleId="Heading5">
    <w:name w:val="heading 5"/>
    <w:basedOn w:val="Normal"/>
    <w:next w:val="Normal"/>
    <w:link w:val="Heading5Char"/>
    <w:uiPriority w:val="9"/>
    <w:semiHidden/>
    <w:unhideWhenUsed/>
    <w:qFormat/>
    <w:rsid w:val="0048495F"/>
    <w:pPr>
      <w:keepNext/>
      <w:keepLines/>
      <w:numPr>
        <w:ilvl w:val="4"/>
        <w:numId w:val="2"/>
      </w:numPr>
      <w:spacing w:before="40" w:after="0"/>
      <w:outlineLvl w:val="4"/>
    </w:pPr>
    <w:rPr>
      <w:rFonts w:asciiTheme="majorHAnsi" w:eastAsiaTheme="majorEastAsia" w:hAnsiTheme="majorHAnsi" w:cstheme="majorBidi"/>
      <w:color w:val="1A0F57" w:themeColor="accent1" w:themeShade="BF"/>
    </w:rPr>
  </w:style>
  <w:style w:type="paragraph" w:styleId="Heading6">
    <w:name w:val="heading 6"/>
    <w:basedOn w:val="Normal"/>
    <w:next w:val="Normal"/>
    <w:link w:val="Heading6Char"/>
    <w:uiPriority w:val="9"/>
    <w:semiHidden/>
    <w:unhideWhenUsed/>
    <w:qFormat/>
    <w:rsid w:val="0048495F"/>
    <w:pPr>
      <w:keepNext/>
      <w:keepLines/>
      <w:numPr>
        <w:ilvl w:val="5"/>
        <w:numId w:val="2"/>
      </w:numPr>
      <w:spacing w:before="40" w:after="0"/>
      <w:outlineLvl w:val="5"/>
    </w:pPr>
    <w:rPr>
      <w:rFonts w:asciiTheme="majorHAnsi" w:eastAsiaTheme="majorEastAsia" w:hAnsiTheme="majorHAnsi" w:cstheme="majorBidi"/>
      <w:color w:val="110A3A" w:themeColor="accent1" w:themeShade="7F"/>
    </w:rPr>
  </w:style>
  <w:style w:type="paragraph" w:styleId="Heading7">
    <w:name w:val="heading 7"/>
    <w:basedOn w:val="Normal"/>
    <w:next w:val="Normal"/>
    <w:link w:val="Heading7Char"/>
    <w:uiPriority w:val="9"/>
    <w:semiHidden/>
    <w:unhideWhenUsed/>
    <w:qFormat/>
    <w:rsid w:val="0048495F"/>
    <w:pPr>
      <w:keepNext/>
      <w:keepLines/>
      <w:numPr>
        <w:ilvl w:val="6"/>
        <w:numId w:val="2"/>
      </w:numPr>
      <w:spacing w:before="40" w:after="0"/>
      <w:outlineLvl w:val="6"/>
    </w:pPr>
    <w:rPr>
      <w:rFonts w:asciiTheme="majorHAnsi" w:eastAsiaTheme="majorEastAsia" w:hAnsiTheme="majorHAnsi" w:cstheme="majorBidi"/>
      <w:i/>
      <w:iCs/>
      <w:color w:val="110A3A" w:themeColor="accent1" w:themeShade="7F"/>
    </w:rPr>
  </w:style>
  <w:style w:type="paragraph" w:styleId="Heading8">
    <w:name w:val="heading 8"/>
    <w:basedOn w:val="Normal"/>
    <w:next w:val="Normal"/>
    <w:link w:val="Heading8Char"/>
    <w:uiPriority w:val="9"/>
    <w:semiHidden/>
    <w:unhideWhenUsed/>
    <w:qFormat/>
    <w:rsid w:val="0048495F"/>
    <w:pPr>
      <w:keepNext/>
      <w:keepLines/>
      <w:numPr>
        <w:ilvl w:val="7"/>
        <w:numId w:val="2"/>
      </w:numPr>
      <w:spacing w:before="40" w:after="0"/>
      <w:outlineLvl w:val="7"/>
    </w:pPr>
    <w:rPr>
      <w:rFonts w:asciiTheme="majorHAnsi" w:eastAsiaTheme="majorEastAsia" w:hAnsiTheme="majorHAnsi" w:cstheme="majorBidi"/>
      <w:color w:val="606060" w:themeColor="text1" w:themeTint="D8"/>
      <w:sz w:val="21"/>
      <w:szCs w:val="21"/>
    </w:rPr>
  </w:style>
  <w:style w:type="paragraph" w:styleId="Heading9">
    <w:name w:val="heading 9"/>
    <w:basedOn w:val="Normal"/>
    <w:next w:val="Normal"/>
    <w:link w:val="Heading9Char"/>
    <w:uiPriority w:val="9"/>
    <w:semiHidden/>
    <w:unhideWhenUsed/>
    <w:qFormat/>
    <w:rsid w:val="0048495F"/>
    <w:pPr>
      <w:keepNext/>
      <w:keepLines/>
      <w:numPr>
        <w:ilvl w:val="8"/>
        <w:numId w:val="2"/>
      </w:numPr>
      <w:spacing w:before="40" w:after="0"/>
      <w:outlineLvl w:val="8"/>
    </w:pPr>
    <w:rPr>
      <w:rFonts w:asciiTheme="majorHAnsi" w:eastAsiaTheme="majorEastAsia" w:hAnsiTheme="majorHAnsi" w:cstheme="majorBidi"/>
      <w:i/>
      <w:iCs/>
      <w:color w:val="60606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1493"/>
    <w:pPr>
      <w:spacing w:after="0" w:line="240" w:lineRule="auto"/>
    </w:pPr>
    <w:rPr>
      <w:rFonts w:eastAsiaTheme="minorEastAsia"/>
    </w:rPr>
  </w:style>
  <w:style w:type="character" w:customStyle="1" w:styleId="NoSpacingChar">
    <w:name w:val="No Spacing Char"/>
    <w:basedOn w:val="DefaultParagraphFont"/>
    <w:link w:val="NoSpacing"/>
    <w:uiPriority w:val="1"/>
    <w:rsid w:val="00181493"/>
    <w:rPr>
      <w:rFonts w:eastAsiaTheme="minorEastAsia"/>
    </w:rPr>
  </w:style>
  <w:style w:type="paragraph" w:styleId="Header">
    <w:name w:val="header"/>
    <w:basedOn w:val="Normal"/>
    <w:link w:val="HeaderChar"/>
    <w:unhideWhenUsed/>
    <w:rsid w:val="00585971"/>
    <w:pPr>
      <w:tabs>
        <w:tab w:val="center" w:pos="4680"/>
        <w:tab w:val="right" w:pos="9360"/>
      </w:tabs>
      <w:spacing w:after="0"/>
    </w:pPr>
  </w:style>
  <w:style w:type="character" w:customStyle="1" w:styleId="HeaderChar">
    <w:name w:val="Header Char"/>
    <w:basedOn w:val="DefaultParagraphFont"/>
    <w:link w:val="Header"/>
    <w:rsid w:val="00585971"/>
  </w:style>
  <w:style w:type="paragraph" w:styleId="Footer">
    <w:name w:val="footer"/>
    <w:basedOn w:val="Normal"/>
    <w:link w:val="FooterChar"/>
    <w:uiPriority w:val="99"/>
    <w:unhideWhenUsed/>
    <w:rsid w:val="00585971"/>
    <w:pPr>
      <w:tabs>
        <w:tab w:val="center" w:pos="4680"/>
        <w:tab w:val="right" w:pos="9360"/>
      </w:tabs>
      <w:spacing w:after="0"/>
    </w:pPr>
  </w:style>
  <w:style w:type="character" w:customStyle="1" w:styleId="FooterChar">
    <w:name w:val="Footer Char"/>
    <w:basedOn w:val="DefaultParagraphFont"/>
    <w:link w:val="Footer"/>
    <w:uiPriority w:val="99"/>
    <w:rsid w:val="00585971"/>
  </w:style>
  <w:style w:type="character" w:customStyle="1" w:styleId="Heading1Char">
    <w:name w:val="Heading 1 Char"/>
    <w:basedOn w:val="DefaultParagraphFont"/>
    <w:link w:val="Heading1"/>
    <w:uiPriority w:val="9"/>
    <w:rsid w:val="006E4C0A"/>
    <w:rPr>
      <w:rFonts w:asciiTheme="majorHAnsi" w:eastAsiaTheme="majorEastAsia" w:hAnsiTheme="majorHAnsi" w:cstheme="majorBidi"/>
      <w:b/>
      <w:color w:val="FFFFFF" w:themeColor="background1"/>
      <w:sz w:val="28"/>
      <w:szCs w:val="32"/>
      <w:shd w:val="clear" w:color="auto" w:fill="444444" w:themeFill="text1"/>
    </w:rPr>
  </w:style>
  <w:style w:type="character" w:customStyle="1" w:styleId="Heading2Char">
    <w:name w:val="Heading 2 Char"/>
    <w:basedOn w:val="DefaultParagraphFont"/>
    <w:link w:val="Heading2"/>
    <w:uiPriority w:val="9"/>
    <w:rsid w:val="005A0C48"/>
    <w:rPr>
      <w:rFonts w:asciiTheme="majorHAnsi" w:eastAsiaTheme="majorEastAsia" w:hAnsiTheme="majorHAnsi" w:cstheme="majorBidi"/>
      <w:b/>
      <w:color w:val="89233B" w:themeColor="accent6"/>
      <w:sz w:val="24"/>
      <w:szCs w:val="26"/>
    </w:rPr>
  </w:style>
  <w:style w:type="table" w:styleId="TableGrid">
    <w:name w:val="Table Grid"/>
    <w:basedOn w:val="TableNormal"/>
    <w:uiPriority w:val="39"/>
    <w:rsid w:val="001B1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14D5"/>
    <w:rPr>
      <w:color w:val="808080"/>
    </w:rPr>
  </w:style>
  <w:style w:type="character" w:customStyle="1" w:styleId="Heading3Char">
    <w:name w:val="Heading 3 Char"/>
    <w:basedOn w:val="DefaultParagraphFont"/>
    <w:link w:val="Heading3"/>
    <w:uiPriority w:val="9"/>
    <w:rsid w:val="00433F7C"/>
    <w:rPr>
      <w:rFonts w:asciiTheme="majorHAnsi" w:eastAsia="Times New Roman" w:hAnsiTheme="majorHAnsi" w:cstheme="majorBidi"/>
      <w:b/>
      <w:color w:val="323232" w:themeColor="text1" w:themeShade="BF"/>
      <w:sz w:val="24"/>
      <w:szCs w:val="24"/>
      <w:u w:val="single"/>
    </w:rPr>
  </w:style>
  <w:style w:type="character" w:customStyle="1" w:styleId="Heading4Char">
    <w:name w:val="Heading 4 Char"/>
    <w:basedOn w:val="DefaultParagraphFont"/>
    <w:link w:val="Heading4"/>
    <w:uiPriority w:val="9"/>
    <w:semiHidden/>
    <w:rsid w:val="0048495F"/>
    <w:rPr>
      <w:rFonts w:asciiTheme="majorHAnsi" w:eastAsiaTheme="majorEastAsia" w:hAnsiTheme="majorHAnsi" w:cstheme="majorBidi"/>
      <w:i/>
      <w:iCs/>
      <w:color w:val="1A0F57" w:themeColor="accent1" w:themeShade="BF"/>
    </w:rPr>
  </w:style>
  <w:style w:type="character" w:customStyle="1" w:styleId="Heading5Char">
    <w:name w:val="Heading 5 Char"/>
    <w:basedOn w:val="DefaultParagraphFont"/>
    <w:link w:val="Heading5"/>
    <w:uiPriority w:val="9"/>
    <w:semiHidden/>
    <w:rsid w:val="0048495F"/>
    <w:rPr>
      <w:rFonts w:asciiTheme="majorHAnsi" w:eastAsiaTheme="majorEastAsia" w:hAnsiTheme="majorHAnsi" w:cstheme="majorBidi"/>
      <w:color w:val="1A0F57" w:themeColor="accent1" w:themeShade="BF"/>
    </w:rPr>
  </w:style>
  <w:style w:type="character" w:customStyle="1" w:styleId="Heading6Char">
    <w:name w:val="Heading 6 Char"/>
    <w:basedOn w:val="DefaultParagraphFont"/>
    <w:link w:val="Heading6"/>
    <w:uiPriority w:val="9"/>
    <w:semiHidden/>
    <w:rsid w:val="0048495F"/>
    <w:rPr>
      <w:rFonts w:asciiTheme="majorHAnsi" w:eastAsiaTheme="majorEastAsia" w:hAnsiTheme="majorHAnsi" w:cstheme="majorBidi"/>
      <w:color w:val="110A3A" w:themeColor="accent1" w:themeShade="7F"/>
    </w:rPr>
  </w:style>
  <w:style w:type="character" w:customStyle="1" w:styleId="Heading7Char">
    <w:name w:val="Heading 7 Char"/>
    <w:basedOn w:val="DefaultParagraphFont"/>
    <w:link w:val="Heading7"/>
    <w:uiPriority w:val="9"/>
    <w:semiHidden/>
    <w:rsid w:val="0048495F"/>
    <w:rPr>
      <w:rFonts w:asciiTheme="majorHAnsi" w:eastAsiaTheme="majorEastAsia" w:hAnsiTheme="majorHAnsi" w:cstheme="majorBidi"/>
      <w:i/>
      <w:iCs/>
      <w:color w:val="110A3A" w:themeColor="accent1" w:themeShade="7F"/>
    </w:rPr>
  </w:style>
  <w:style w:type="character" w:customStyle="1" w:styleId="Heading8Char">
    <w:name w:val="Heading 8 Char"/>
    <w:basedOn w:val="DefaultParagraphFont"/>
    <w:link w:val="Heading8"/>
    <w:uiPriority w:val="9"/>
    <w:semiHidden/>
    <w:rsid w:val="0048495F"/>
    <w:rPr>
      <w:rFonts w:asciiTheme="majorHAnsi" w:eastAsiaTheme="majorEastAsia" w:hAnsiTheme="majorHAnsi" w:cstheme="majorBidi"/>
      <w:color w:val="606060" w:themeColor="text1" w:themeTint="D8"/>
      <w:sz w:val="21"/>
      <w:szCs w:val="21"/>
    </w:rPr>
  </w:style>
  <w:style w:type="character" w:customStyle="1" w:styleId="Heading9Char">
    <w:name w:val="Heading 9 Char"/>
    <w:basedOn w:val="DefaultParagraphFont"/>
    <w:link w:val="Heading9"/>
    <w:uiPriority w:val="9"/>
    <w:semiHidden/>
    <w:rsid w:val="0048495F"/>
    <w:rPr>
      <w:rFonts w:asciiTheme="majorHAnsi" w:eastAsiaTheme="majorEastAsia" w:hAnsiTheme="majorHAnsi" w:cstheme="majorBidi"/>
      <w:i/>
      <w:iCs/>
      <w:color w:val="606060" w:themeColor="text1" w:themeTint="D8"/>
      <w:sz w:val="21"/>
      <w:szCs w:val="21"/>
    </w:rPr>
  </w:style>
  <w:style w:type="character" w:customStyle="1" w:styleId="ListParagraphChar">
    <w:name w:val="List Paragraph Char"/>
    <w:basedOn w:val="DefaultParagraphFont"/>
    <w:link w:val="ListParagraph"/>
    <w:uiPriority w:val="34"/>
    <w:locked/>
    <w:rsid w:val="0048495F"/>
    <w:rPr>
      <w:rFonts w:ascii="Lucida Grande" w:eastAsia="ヒラギノ角ゴ Pro W3" w:hAnsi="Lucida Grande" w:cs="Times New Roman"/>
      <w:color w:val="000000"/>
      <w:szCs w:val="24"/>
    </w:rPr>
  </w:style>
  <w:style w:type="paragraph" w:styleId="ListParagraph">
    <w:name w:val="List Paragraph"/>
    <w:basedOn w:val="Normal"/>
    <w:link w:val="ListParagraphChar"/>
    <w:uiPriority w:val="34"/>
    <w:qFormat/>
    <w:rsid w:val="0048495F"/>
    <w:pPr>
      <w:spacing w:after="200" w:line="276" w:lineRule="auto"/>
      <w:ind w:left="720"/>
      <w:contextualSpacing/>
    </w:pPr>
    <w:rPr>
      <w:rFonts w:ascii="Lucida Grande" w:eastAsia="ヒラギノ角ゴ Pro W3" w:hAnsi="Lucida Grande" w:cs="Times New Roman"/>
      <w:color w:val="000000"/>
      <w:szCs w:val="24"/>
    </w:rPr>
  </w:style>
  <w:style w:type="character" w:styleId="CommentReference">
    <w:name w:val="annotation reference"/>
    <w:basedOn w:val="DefaultParagraphFont"/>
    <w:uiPriority w:val="99"/>
    <w:semiHidden/>
    <w:unhideWhenUsed/>
    <w:rsid w:val="0048495F"/>
    <w:rPr>
      <w:sz w:val="16"/>
      <w:szCs w:val="16"/>
    </w:rPr>
  </w:style>
  <w:style w:type="paragraph" w:styleId="CommentText">
    <w:name w:val="annotation text"/>
    <w:basedOn w:val="Normal"/>
    <w:link w:val="CommentTextChar"/>
    <w:uiPriority w:val="99"/>
    <w:semiHidden/>
    <w:unhideWhenUsed/>
    <w:rsid w:val="0048495F"/>
    <w:rPr>
      <w:sz w:val="20"/>
      <w:szCs w:val="20"/>
    </w:rPr>
  </w:style>
  <w:style w:type="character" w:customStyle="1" w:styleId="CommentTextChar">
    <w:name w:val="Comment Text Char"/>
    <w:basedOn w:val="DefaultParagraphFont"/>
    <w:link w:val="CommentText"/>
    <w:uiPriority w:val="99"/>
    <w:semiHidden/>
    <w:rsid w:val="0048495F"/>
    <w:rPr>
      <w:sz w:val="20"/>
      <w:szCs w:val="20"/>
    </w:rPr>
  </w:style>
  <w:style w:type="paragraph" w:styleId="CommentSubject">
    <w:name w:val="annotation subject"/>
    <w:basedOn w:val="CommentText"/>
    <w:next w:val="CommentText"/>
    <w:link w:val="CommentSubjectChar"/>
    <w:uiPriority w:val="99"/>
    <w:semiHidden/>
    <w:unhideWhenUsed/>
    <w:rsid w:val="0048495F"/>
    <w:rPr>
      <w:b/>
      <w:bCs/>
    </w:rPr>
  </w:style>
  <w:style w:type="character" w:customStyle="1" w:styleId="CommentSubjectChar">
    <w:name w:val="Comment Subject Char"/>
    <w:basedOn w:val="CommentTextChar"/>
    <w:link w:val="CommentSubject"/>
    <w:uiPriority w:val="99"/>
    <w:semiHidden/>
    <w:rsid w:val="0048495F"/>
    <w:rPr>
      <w:b/>
      <w:bCs/>
      <w:sz w:val="20"/>
      <w:szCs w:val="20"/>
    </w:rPr>
  </w:style>
  <w:style w:type="paragraph" w:styleId="BalloonText">
    <w:name w:val="Balloon Text"/>
    <w:basedOn w:val="Normal"/>
    <w:link w:val="BalloonTextChar"/>
    <w:uiPriority w:val="99"/>
    <w:semiHidden/>
    <w:unhideWhenUsed/>
    <w:rsid w:val="004849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5F"/>
    <w:rPr>
      <w:rFonts w:ascii="Segoe UI" w:hAnsi="Segoe UI" w:cs="Segoe UI"/>
      <w:sz w:val="18"/>
      <w:szCs w:val="18"/>
    </w:rPr>
  </w:style>
  <w:style w:type="paragraph" w:styleId="FootnoteText">
    <w:name w:val="footnote text"/>
    <w:basedOn w:val="Normal"/>
    <w:link w:val="FootnoteTextChar"/>
    <w:uiPriority w:val="99"/>
    <w:unhideWhenUsed/>
    <w:rsid w:val="000C1E75"/>
    <w:pPr>
      <w:spacing w:after="0"/>
    </w:pPr>
    <w:rPr>
      <w:sz w:val="20"/>
      <w:szCs w:val="20"/>
    </w:rPr>
  </w:style>
  <w:style w:type="character" w:customStyle="1" w:styleId="FootnoteTextChar">
    <w:name w:val="Footnote Text Char"/>
    <w:basedOn w:val="DefaultParagraphFont"/>
    <w:link w:val="FootnoteText"/>
    <w:uiPriority w:val="99"/>
    <w:rsid w:val="000C1E75"/>
    <w:rPr>
      <w:sz w:val="20"/>
      <w:szCs w:val="20"/>
    </w:rPr>
  </w:style>
  <w:style w:type="character" w:styleId="FootnoteReference">
    <w:name w:val="footnote reference"/>
    <w:basedOn w:val="DefaultParagraphFont"/>
    <w:uiPriority w:val="99"/>
    <w:unhideWhenUsed/>
    <w:rsid w:val="000C1E75"/>
    <w:rPr>
      <w:vertAlign w:val="superscript"/>
    </w:rPr>
  </w:style>
  <w:style w:type="character" w:styleId="Hyperlink">
    <w:name w:val="Hyperlink"/>
    <w:basedOn w:val="DefaultParagraphFont"/>
    <w:uiPriority w:val="99"/>
    <w:unhideWhenUsed/>
    <w:rsid w:val="009F182E"/>
    <w:rPr>
      <w:color w:val="0563C1" w:themeColor="hyperlink"/>
      <w:u w:val="single"/>
    </w:rPr>
  </w:style>
  <w:style w:type="character" w:styleId="FollowedHyperlink">
    <w:name w:val="FollowedHyperlink"/>
    <w:basedOn w:val="DefaultParagraphFont"/>
    <w:uiPriority w:val="99"/>
    <w:semiHidden/>
    <w:unhideWhenUsed/>
    <w:rsid w:val="00DC5657"/>
    <w:rPr>
      <w:color w:val="FFFFFF" w:themeColor="followedHyperlink"/>
      <w:u w:val="single"/>
    </w:rPr>
  </w:style>
  <w:style w:type="character" w:styleId="UnresolvedMention">
    <w:name w:val="Unresolved Mention"/>
    <w:basedOn w:val="DefaultParagraphFont"/>
    <w:uiPriority w:val="99"/>
    <w:semiHidden/>
    <w:unhideWhenUsed/>
    <w:rsid w:val="00A47BE3"/>
    <w:rPr>
      <w:color w:val="605E5C"/>
      <w:shd w:val="clear" w:color="auto" w:fill="E1DFDD"/>
    </w:rPr>
  </w:style>
  <w:style w:type="table" w:styleId="TableProfessional">
    <w:name w:val="Table Professional"/>
    <w:basedOn w:val="TableNormal"/>
    <w:rsid w:val="00D50C12"/>
    <w:pPr>
      <w:spacing w:after="200" w:line="276"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5179">
      <w:bodyDiv w:val="1"/>
      <w:marLeft w:val="0"/>
      <w:marRight w:val="0"/>
      <w:marTop w:val="0"/>
      <w:marBottom w:val="0"/>
      <w:divBdr>
        <w:top w:val="none" w:sz="0" w:space="0" w:color="auto"/>
        <w:left w:val="none" w:sz="0" w:space="0" w:color="auto"/>
        <w:bottom w:val="none" w:sz="0" w:space="0" w:color="auto"/>
        <w:right w:val="none" w:sz="0" w:space="0" w:color="auto"/>
      </w:divBdr>
    </w:div>
    <w:div w:id="53086786">
      <w:bodyDiv w:val="1"/>
      <w:marLeft w:val="0"/>
      <w:marRight w:val="0"/>
      <w:marTop w:val="0"/>
      <w:marBottom w:val="0"/>
      <w:divBdr>
        <w:top w:val="none" w:sz="0" w:space="0" w:color="auto"/>
        <w:left w:val="none" w:sz="0" w:space="0" w:color="auto"/>
        <w:bottom w:val="none" w:sz="0" w:space="0" w:color="auto"/>
        <w:right w:val="none" w:sz="0" w:space="0" w:color="auto"/>
      </w:divBdr>
    </w:div>
    <w:div w:id="127163612">
      <w:bodyDiv w:val="1"/>
      <w:marLeft w:val="0"/>
      <w:marRight w:val="0"/>
      <w:marTop w:val="0"/>
      <w:marBottom w:val="0"/>
      <w:divBdr>
        <w:top w:val="none" w:sz="0" w:space="0" w:color="auto"/>
        <w:left w:val="none" w:sz="0" w:space="0" w:color="auto"/>
        <w:bottom w:val="none" w:sz="0" w:space="0" w:color="auto"/>
        <w:right w:val="none" w:sz="0" w:space="0" w:color="auto"/>
      </w:divBdr>
    </w:div>
    <w:div w:id="130250149">
      <w:bodyDiv w:val="1"/>
      <w:marLeft w:val="0"/>
      <w:marRight w:val="0"/>
      <w:marTop w:val="0"/>
      <w:marBottom w:val="0"/>
      <w:divBdr>
        <w:top w:val="none" w:sz="0" w:space="0" w:color="auto"/>
        <w:left w:val="none" w:sz="0" w:space="0" w:color="auto"/>
        <w:bottom w:val="none" w:sz="0" w:space="0" w:color="auto"/>
        <w:right w:val="none" w:sz="0" w:space="0" w:color="auto"/>
      </w:divBdr>
    </w:div>
    <w:div w:id="165749458">
      <w:bodyDiv w:val="1"/>
      <w:marLeft w:val="0"/>
      <w:marRight w:val="0"/>
      <w:marTop w:val="0"/>
      <w:marBottom w:val="0"/>
      <w:divBdr>
        <w:top w:val="none" w:sz="0" w:space="0" w:color="auto"/>
        <w:left w:val="none" w:sz="0" w:space="0" w:color="auto"/>
        <w:bottom w:val="none" w:sz="0" w:space="0" w:color="auto"/>
        <w:right w:val="none" w:sz="0" w:space="0" w:color="auto"/>
      </w:divBdr>
    </w:div>
    <w:div w:id="181482293">
      <w:bodyDiv w:val="1"/>
      <w:marLeft w:val="0"/>
      <w:marRight w:val="0"/>
      <w:marTop w:val="0"/>
      <w:marBottom w:val="0"/>
      <w:divBdr>
        <w:top w:val="none" w:sz="0" w:space="0" w:color="auto"/>
        <w:left w:val="none" w:sz="0" w:space="0" w:color="auto"/>
        <w:bottom w:val="none" w:sz="0" w:space="0" w:color="auto"/>
        <w:right w:val="none" w:sz="0" w:space="0" w:color="auto"/>
      </w:divBdr>
    </w:div>
    <w:div w:id="203951920">
      <w:bodyDiv w:val="1"/>
      <w:marLeft w:val="0"/>
      <w:marRight w:val="0"/>
      <w:marTop w:val="0"/>
      <w:marBottom w:val="0"/>
      <w:divBdr>
        <w:top w:val="none" w:sz="0" w:space="0" w:color="auto"/>
        <w:left w:val="none" w:sz="0" w:space="0" w:color="auto"/>
        <w:bottom w:val="none" w:sz="0" w:space="0" w:color="auto"/>
        <w:right w:val="none" w:sz="0" w:space="0" w:color="auto"/>
      </w:divBdr>
    </w:div>
    <w:div w:id="428164929">
      <w:bodyDiv w:val="1"/>
      <w:marLeft w:val="0"/>
      <w:marRight w:val="0"/>
      <w:marTop w:val="0"/>
      <w:marBottom w:val="0"/>
      <w:divBdr>
        <w:top w:val="none" w:sz="0" w:space="0" w:color="auto"/>
        <w:left w:val="none" w:sz="0" w:space="0" w:color="auto"/>
        <w:bottom w:val="none" w:sz="0" w:space="0" w:color="auto"/>
        <w:right w:val="none" w:sz="0" w:space="0" w:color="auto"/>
      </w:divBdr>
    </w:div>
    <w:div w:id="467943940">
      <w:bodyDiv w:val="1"/>
      <w:marLeft w:val="0"/>
      <w:marRight w:val="0"/>
      <w:marTop w:val="0"/>
      <w:marBottom w:val="0"/>
      <w:divBdr>
        <w:top w:val="none" w:sz="0" w:space="0" w:color="auto"/>
        <w:left w:val="none" w:sz="0" w:space="0" w:color="auto"/>
        <w:bottom w:val="none" w:sz="0" w:space="0" w:color="auto"/>
        <w:right w:val="none" w:sz="0" w:space="0" w:color="auto"/>
      </w:divBdr>
    </w:div>
    <w:div w:id="534538947">
      <w:bodyDiv w:val="1"/>
      <w:marLeft w:val="0"/>
      <w:marRight w:val="0"/>
      <w:marTop w:val="0"/>
      <w:marBottom w:val="0"/>
      <w:divBdr>
        <w:top w:val="none" w:sz="0" w:space="0" w:color="auto"/>
        <w:left w:val="none" w:sz="0" w:space="0" w:color="auto"/>
        <w:bottom w:val="none" w:sz="0" w:space="0" w:color="auto"/>
        <w:right w:val="none" w:sz="0" w:space="0" w:color="auto"/>
      </w:divBdr>
    </w:div>
    <w:div w:id="562060620">
      <w:bodyDiv w:val="1"/>
      <w:marLeft w:val="0"/>
      <w:marRight w:val="0"/>
      <w:marTop w:val="0"/>
      <w:marBottom w:val="0"/>
      <w:divBdr>
        <w:top w:val="none" w:sz="0" w:space="0" w:color="auto"/>
        <w:left w:val="none" w:sz="0" w:space="0" w:color="auto"/>
        <w:bottom w:val="none" w:sz="0" w:space="0" w:color="auto"/>
        <w:right w:val="none" w:sz="0" w:space="0" w:color="auto"/>
      </w:divBdr>
    </w:div>
    <w:div w:id="565382475">
      <w:bodyDiv w:val="1"/>
      <w:marLeft w:val="0"/>
      <w:marRight w:val="0"/>
      <w:marTop w:val="0"/>
      <w:marBottom w:val="0"/>
      <w:divBdr>
        <w:top w:val="none" w:sz="0" w:space="0" w:color="auto"/>
        <w:left w:val="none" w:sz="0" w:space="0" w:color="auto"/>
        <w:bottom w:val="none" w:sz="0" w:space="0" w:color="auto"/>
        <w:right w:val="none" w:sz="0" w:space="0" w:color="auto"/>
      </w:divBdr>
    </w:div>
    <w:div w:id="603347430">
      <w:bodyDiv w:val="1"/>
      <w:marLeft w:val="0"/>
      <w:marRight w:val="0"/>
      <w:marTop w:val="0"/>
      <w:marBottom w:val="0"/>
      <w:divBdr>
        <w:top w:val="none" w:sz="0" w:space="0" w:color="auto"/>
        <w:left w:val="none" w:sz="0" w:space="0" w:color="auto"/>
        <w:bottom w:val="none" w:sz="0" w:space="0" w:color="auto"/>
        <w:right w:val="none" w:sz="0" w:space="0" w:color="auto"/>
      </w:divBdr>
    </w:div>
    <w:div w:id="820853240">
      <w:bodyDiv w:val="1"/>
      <w:marLeft w:val="0"/>
      <w:marRight w:val="0"/>
      <w:marTop w:val="0"/>
      <w:marBottom w:val="0"/>
      <w:divBdr>
        <w:top w:val="none" w:sz="0" w:space="0" w:color="auto"/>
        <w:left w:val="none" w:sz="0" w:space="0" w:color="auto"/>
        <w:bottom w:val="none" w:sz="0" w:space="0" w:color="auto"/>
        <w:right w:val="none" w:sz="0" w:space="0" w:color="auto"/>
      </w:divBdr>
    </w:div>
    <w:div w:id="942808773">
      <w:bodyDiv w:val="1"/>
      <w:marLeft w:val="0"/>
      <w:marRight w:val="0"/>
      <w:marTop w:val="0"/>
      <w:marBottom w:val="0"/>
      <w:divBdr>
        <w:top w:val="none" w:sz="0" w:space="0" w:color="auto"/>
        <w:left w:val="none" w:sz="0" w:space="0" w:color="auto"/>
        <w:bottom w:val="none" w:sz="0" w:space="0" w:color="auto"/>
        <w:right w:val="none" w:sz="0" w:space="0" w:color="auto"/>
      </w:divBdr>
    </w:div>
    <w:div w:id="1002318810">
      <w:bodyDiv w:val="1"/>
      <w:marLeft w:val="0"/>
      <w:marRight w:val="0"/>
      <w:marTop w:val="0"/>
      <w:marBottom w:val="0"/>
      <w:divBdr>
        <w:top w:val="none" w:sz="0" w:space="0" w:color="auto"/>
        <w:left w:val="none" w:sz="0" w:space="0" w:color="auto"/>
        <w:bottom w:val="none" w:sz="0" w:space="0" w:color="auto"/>
        <w:right w:val="none" w:sz="0" w:space="0" w:color="auto"/>
      </w:divBdr>
    </w:div>
    <w:div w:id="1034773317">
      <w:bodyDiv w:val="1"/>
      <w:marLeft w:val="0"/>
      <w:marRight w:val="0"/>
      <w:marTop w:val="0"/>
      <w:marBottom w:val="0"/>
      <w:divBdr>
        <w:top w:val="none" w:sz="0" w:space="0" w:color="auto"/>
        <w:left w:val="none" w:sz="0" w:space="0" w:color="auto"/>
        <w:bottom w:val="none" w:sz="0" w:space="0" w:color="auto"/>
        <w:right w:val="none" w:sz="0" w:space="0" w:color="auto"/>
      </w:divBdr>
    </w:div>
    <w:div w:id="1040134969">
      <w:bodyDiv w:val="1"/>
      <w:marLeft w:val="0"/>
      <w:marRight w:val="0"/>
      <w:marTop w:val="0"/>
      <w:marBottom w:val="0"/>
      <w:divBdr>
        <w:top w:val="none" w:sz="0" w:space="0" w:color="auto"/>
        <w:left w:val="none" w:sz="0" w:space="0" w:color="auto"/>
        <w:bottom w:val="none" w:sz="0" w:space="0" w:color="auto"/>
        <w:right w:val="none" w:sz="0" w:space="0" w:color="auto"/>
      </w:divBdr>
    </w:div>
    <w:div w:id="1065223722">
      <w:bodyDiv w:val="1"/>
      <w:marLeft w:val="0"/>
      <w:marRight w:val="0"/>
      <w:marTop w:val="0"/>
      <w:marBottom w:val="0"/>
      <w:divBdr>
        <w:top w:val="none" w:sz="0" w:space="0" w:color="auto"/>
        <w:left w:val="none" w:sz="0" w:space="0" w:color="auto"/>
        <w:bottom w:val="none" w:sz="0" w:space="0" w:color="auto"/>
        <w:right w:val="none" w:sz="0" w:space="0" w:color="auto"/>
      </w:divBdr>
    </w:div>
    <w:div w:id="1758672731">
      <w:bodyDiv w:val="1"/>
      <w:marLeft w:val="0"/>
      <w:marRight w:val="0"/>
      <w:marTop w:val="0"/>
      <w:marBottom w:val="0"/>
      <w:divBdr>
        <w:top w:val="none" w:sz="0" w:space="0" w:color="auto"/>
        <w:left w:val="none" w:sz="0" w:space="0" w:color="auto"/>
        <w:bottom w:val="none" w:sz="0" w:space="0" w:color="auto"/>
        <w:right w:val="none" w:sz="0" w:space="0" w:color="auto"/>
      </w:divBdr>
    </w:div>
    <w:div w:id="1808740463">
      <w:bodyDiv w:val="1"/>
      <w:marLeft w:val="0"/>
      <w:marRight w:val="0"/>
      <w:marTop w:val="0"/>
      <w:marBottom w:val="0"/>
      <w:divBdr>
        <w:top w:val="none" w:sz="0" w:space="0" w:color="auto"/>
        <w:left w:val="none" w:sz="0" w:space="0" w:color="auto"/>
        <w:bottom w:val="none" w:sz="0" w:space="0" w:color="auto"/>
        <w:right w:val="none" w:sz="0" w:space="0" w:color="auto"/>
      </w:divBdr>
    </w:div>
    <w:div w:id="1821385594">
      <w:bodyDiv w:val="1"/>
      <w:marLeft w:val="0"/>
      <w:marRight w:val="0"/>
      <w:marTop w:val="0"/>
      <w:marBottom w:val="0"/>
      <w:divBdr>
        <w:top w:val="none" w:sz="0" w:space="0" w:color="auto"/>
        <w:left w:val="none" w:sz="0" w:space="0" w:color="auto"/>
        <w:bottom w:val="none" w:sz="0" w:space="0" w:color="auto"/>
        <w:right w:val="none" w:sz="0" w:space="0" w:color="auto"/>
      </w:divBdr>
    </w:div>
    <w:div w:id="1867209715">
      <w:bodyDiv w:val="1"/>
      <w:marLeft w:val="0"/>
      <w:marRight w:val="0"/>
      <w:marTop w:val="0"/>
      <w:marBottom w:val="0"/>
      <w:divBdr>
        <w:top w:val="none" w:sz="0" w:space="0" w:color="auto"/>
        <w:left w:val="none" w:sz="0" w:space="0" w:color="auto"/>
        <w:bottom w:val="none" w:sz="0" w:space="0" w:color="auto"/>
        <w:right w:val="none" w:sz="0" w:space="0" w:color="auto"/>
      </w:divBdr>
    </w:div>
    <w:div w:id="2026516900">
      <w:bodyDiv w:val="1"/>
      <w:marLeft w:val="0"/>
      <w:marRight w:val="0"/>
      <w:marTop w:val="0"/>
      <w:marBottom w:val="0"/>
      <w:divBdr>
        <w:top w:val="none" w:sz="0" w:space="0" w:color="auto"/>
        <w:left w:val="none" w:sz="0" w:space="0" w:color="auto"/>
        <w:bottom w:val="none" w:sz="0" w:space="0" w:color="auto"/>
        <w:right w:val="none" w:sz="0" w:space="0" w:color="auto"/>
      </w:divBdr>
    </w:div>
    <w:div w:id="2115980962">
      <w:bodyDiv w:val="1"/>
      <w:marLeft w:val="0"/>
      <w:marRight w:val="0"/>
      <w:marTop w:val="0"/>
      <w:marBottom w:val="0"/>
      <w:divBdr>
        <w:top w:val="none" w:sz="0" w:space="0" w:color="auto"/>
        <w:left w:val="none" w:sz="0" w:space="0" w:color="auto"/>
        <w:bottom w:val="none" w:sz="0" w:space="0" w:color="auto"/>
        <w:right w:val="none" w:sz="0" w:space="0" w:color="auto"/>
      </w:divBdr>
    </w:div>
    <w:div w:id="2124034932">
      <w:bodyDiv w:val="1"/>
      <w:marLeft w:val="0"/>
      <w:marRight w:val="0"/>
      <w:marTop w:val="0"/>
      <w:marBottom w:val="0"/>
      <w:divBdr>
        <w:top w:val="none" w:sz="0" w:space="0" w:color="auto"/>
        <w:left w:val="none" w:sz="0" w:space="0" w:color="auto"/>
        <w:bottom w:val="none" w:sz="0" w:space="0" w:color="auto"/>
        <w:right w:val="none" w:sz="0" w:space="0" w:color="auto"/>
      </w:divBdr>
    </w:div>
    <w:div w:id="21290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cmcontracts@ucdavis.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lychain.ucdavis.edu/procure-contract/for-suppli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Manteca">
      <a:dk1>
        <a:srgbClr val="444444"/>
      </a:dk1>
      <a:lt1>
        <a:sysClr val="window" lastClr="FFFFFF"/>
      </a:lt1>
      <a:dk2>
        <a:srgbClr val="003152"/>
      </a:dk2>
      <a:lt2>
        <a:srgbClr val="D2D2D2"/>
      </a:lt2>
      <a:accent1>
        <a:srgbClr val="241475"/>
      </a:accent1>
      <a:accent2>
        <a:srgbClr val="68ACDD"/>
      </a:accent2>
      <a:accent3>
        <a:srgbClr val="A5A5A5"/>
      </a:accent3>
      <a:accent4>
        <a:srgbClr val="FFC000"/>
      </a:accent4>
      <a:accent5>
        <a:srgbClr val="5B9BD5"/>
      </a:accent5>
      <a:accent6>
        <a:srgbClr val="89233B"/>
      </a:accent6>
      <a:hlink>
        <a:srgbClr val="0563C1"/>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9390d259-1414-4c7f-b7e0-ef01f0bac184" xsi:nil="true"/>
    <lcf76f155ced4ddcb4097134ff3c332f xmlns="c5e1005e-83bf-4b8f-8a44-4308172bd371">
      <Terms xmlns="http://schemas.microsoft.com/office/infopath/2007/PartnerControls"/>
    </lcf76f155ced4ddcb4097134ff3c332f>
    <InterviewNumber xmlns="c5e1005e-83bf-4b8f-8a44-4308172bd3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242A4E958C9542ADBDA9167D96EF14" ma:contentTypeVersion="22" ma:contentTypeDescription="Create a new document." ma:contentTypeScope="" ma:versionID="283f603e7a943eafeb769b0b729b9d68">
  <xsd:schema xmlns:xsd="http://www.w3.org/2001/XMLSchema" xmlns:xs="http://www.w3.org/2001/XMLSchema" xmlns:p="http://schemas.microsoft.com/office/2006/metadata/properties" xmlns:ns1="http://schemas.microsoft.com/sharepoint/v3" xmlns:ns2="c5e1005e-83bf-4b8f-8a44-4308172bd371" xmlns:ns3="cdf15216-8887-4b38-978f-df327325dca0" xmlns:ns4="9390d259-1414-4c7f-b7e0-ef01f0bac184" targetNamespace="http://schemas.microsoft.com/office/2006/metadata/properties" ma:root="true" ma:fieldsID="43e550718fd1652053e4a65e514dea37" ns1:_="" ns2:_="" ns3:_="" ns4:_="">
    <xsd:import namespace="http://schemas.microsoft.com/sharepoint/v3"/>
    <xsd:import namespace="c5e1005e-83bf-4b8f-8a44-4308172bd371"/>
    <xsd:import namespace="cdf15216-8887-4b38-978f-df327325dca0"/>
    <xsd:import namespace="9390d259-1414-4c7f-b7e0-ef01f0bac1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element ref="ns2:Interview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1005e-83bf-4b8f-8a44-4308172b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d5e11d2-366a-451f-9543-34196a2c079c"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InterviewNumber" ma:index="28" nillable="true" ma:displayName="Interview Number" ma:format="Dropdown" ma:internalName="Interview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df15216-8887-4b38-978f-df327325dc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90d259-1414-4c7f-b7e0-ef01f0bac184"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c285832-de54-407d-bf3c-d73af9e0394f}" ma:internalName="TaxCatchAll" ma:showField="CatchAllData" ma:web="9390d259-1414-4c7f-b7e0-ef01f0bac1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9DA7FC-9E4E-4147-A226-D7F4EC675009}">
  <ds:schemaRefs>
    <ds:schemaRef ds:uri="http://schemas.microsoft.com/office/2006/metadata/properties"/>
    <ds:schemaRef ds:uri="http://schemas.microsoft.com/office/infopath/2007/PartnerControls"/>
    <ds:schemaRef ds:uri="http://schemas.microsoft.com/sharepoint/v3"/>
    <ds:schemaRef ds:uri="9390d259-1414-4c7f-b7e0-ef01f0bac184"/>
    <ds:schemaRef ds:uri="c5e1005e-83bf-4b8f-8a44-4308172bd371"/>
  </ds:schemaRefs>
</ds:datastoreItem>
</file>

<file path=customXml/itemProps2.xml><?xml version="1.0" encoding="utf-8"?>
<ds:datastoreItem xmlns:ds="http://schemas.openxmlformats.org/officeDocument/2006/customXml" ds:itemID="{2825CDDD-A098-4DF4-83E4-D52B470BF31D}">
  <ds:schemaRefs>
    <ds:schemaRef ds:uri="http://schemas.microsoft.com/sharepoint/v3/contenttype/forms"/>
  </ds:schemaRefs>
</ds:datastoreItem>
</file>

<file path=customXml/itemProps3.xml><?xml version="1.0" encoding="utf-8"?>
<ds:datastoreItem xmlns:ds="http://schemas.openxmlformats.org/officeDocument/2006/customXml" ds:itemID="{6A6A01B5-302A-4A3D-A6C2-8BB7D6FC377B}">
  <ds:schemaRefs>
    <ds:schemaRef ds:uri="http://schemas.openxmlformats.org/officeDocument/2006/bibliography"/>
  </ds:schemaRefs>
</ds:datastoreItem>
</file>

<file path=customXml/itemProps4.xml><?xml version="1.0" encoding="utf-8"?>
<ds:datastoreItem xmlns:ds="http://schemas.openxmlformats.org/officeDocument/2006/customXml" ds:itemID="{9C170E10-C5AD-4B11-B0CB-07926A469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e1005e-83bf-4b8f-8a44-4308172bd371"/>
    <ds:schemaRef ds:uri="cdf15216-8887-4b38-978f-df327325dca0"/>
    <ds:schemaRef ds:uri="9390d259-1414-4c7f-b7e0-ef01f0bac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Chang</dc:creator>
  <cp:keywords/>
  <dc:description/>
  <cp:lastModifiedBy>Sarah Mee</cp:lastModifiedBy>
  <cp:revision>4</cp:revision>
  <dcterms:created xsi:type="dcterms:W3CDTF">2024-03-04T19:37:00Z</dcterms:created>
  <dcterms:modified xsi:type="dcterms:W3CDTF">2024-03-05T16:09:00Z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0x0101001C242A4E958C9542ADBDA9167D96EF14</vt:lpwstr>
  </property>
  <property fmtid="{D5CDD505-2E9C-101B-9397-08002B2CF9AE}" pid="3" name="MediaServiceImageTags">
    <vt:lpwstr/>
  </property>
</Properties>
</file>